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BEC18">
      <w:pPr>
        <w:spacing w:after="1600"/>
      </w:pPr>
    </w:p>
    <w:p w14:paraId="2192F0BE">
      <w:pPr>
        <w:pStyle w:val="31"/>
      </w:pPr>
      <w:r>
        <w:rPr>
          <w:rFonts w:hint="eastAsia" w:ascii="Hiragino Sans GB" w:hAnsi="Hiragino Sans GB" w:eastAsia="Hiragino Sans GB" w:cs="Hiragino Sans GB"/>
          <w:b/>
          <w:sz w:val="48"/>
        </w:rPr>
        <w:t>泰山经方标准化诊疗法白皮书</w:t>
      </w:r>
    </w:p>
    <w:p w14:paraId="586C49AB">
      <w:pPr>
        <w:spacing w:after="360"/>
        <w:jc w:val="center"/>
        <w:rPr>
          <w:rFonts w:hint="eastAsia" w:ascii="Songti SC" w:hAnsi="Songti SC" w:eastAsia="Songti SC" w:cs="Songti SC"/>
          <w:color w:val="444444"/>
          <w:sz w:val="26"/>
        </w:rPr>
      </w:pPr>
      <w:r>
        <w:rPr>
          <w:rFonts w:hint="eastAsia" w:ascii="Songti SC" w:hAnsi="Songti SC" w:eastAsia="Songti SC" w:cs="Songti SC"/>
          <w:color w:val="444444"/>
          <w:sz w:val="26"/>
        </w:rPr>
        <w:t>学术体系  临床路径  数字化建设与治理框架</w:t>
      </w:r>
    </w:p>
    <w:p w14:paraId="27CC031B">
      <w:pPr>
        <w:spacing w:after="360"/>
        <w:jc w:val="center"/>
        <w:rPr>
          <w:rFonts w:hint="default" w:ascii="Songti SC" w:hAnsi="Songti SC" w:eastAsia="Songti SC" w:cs="Songti SC"/>
          <w:color w:val="444444"/>
          <w:sz w:val="26"/>
          <w:lang w:val="en-US" w:eastAsia="zh-CN"/>
        </w:rPr>
      </w:pPr>
      <w:r>
        <w:rPr>
          <w:rFonts w:hint="eastAsia" w:cs="Songti SC"/>
          <w:color w:val="444444"/>
          <w:sz w:val="26"/>
          <w:lang w:val="en-US" w:eastAsia="zh-CN"/>
        </w:rPr>
        <w:t>作者：山东省泰安市泰山区传统医药类别非物质文化遗产项目泰山经方标准化诊疗法代表性传承人     王相钧</w:t>
      </w:r>
      <w:bookmarkStart w:id="0" w:name="_GoBack"/>
      <w:bookmarkEnd w:id="0"/>
    </w:p>
    <w:p w14:paraId="3D39F9B4">
      <w:r>
        <w:rPr>
          <w:rFonts w:hint="eastAsia" w:ascii="Songti SC" w:hAnsi="Songti SC" w:eastAsia="Songti SC" w:cs="Songti SC"/>
        </w:rPr>
        <w:br w:type="page"/>
      </w:r>
    </w:p>
    <w:p w14:paraId="41AB3296">
      <w:pPr>
        <w:pStyle w:val="3"/>
      </w:pPr>
      <w:r>
        <w:rPr>
          <w:rFonts w:hint="eastAsia" w:ascii="Hiragino Sans GB" w:hAnsi="Hiragino Sans GB" w:eastAsia="Hiragino Sans GB" w:cs="Hiragino Sans GB"/>
        </w:rPr>
        <w:t>摘要</w:t>
      </w:r>
    </w:p>
    <w:p w14:paraId="078BDE63">
      <w:pPr>
        <w:ind w:firstLine="420"/>
      </w:pPr>
      <w:r>
        <w:rPr>
          <w:rFonts w:hint="eastAsia" w:ascii="Songti SC" w:hAnsi="Songti SC" w:eastAsia="Songti SC" w:cs="Songti SC"/>
          <w:sz w:val="21"/>
        </w:rPr>
        <w:t>本白皮书系统说明泰山经方标准化诊疗法的理论来源、临床流程、数字化支撑、证据建设和治理要求。该方法以经典医籍与传承实践为基础，以经方方证为临床落点，将时空信息、外候、脉诊、辨证、处方与复诊评价纳入统一流程，并通过标准病案和本地知识库支持教学、复盘与研究。白皮书同时明确，数字工具仅用于记录、提示和辅助合参，不能替代具备资质医师的诊断、处方和转诊责任。后续建设应优先完善标准、积累连续病例、开展真实世界研究，并建立隐私保护、数据治理、伦理审查和风险转诊机制。</w:t>
      </w:r>
    </w:p>
    <w:p w14:paraId="41A33D31">
      <w:pPr>
        <w:spacing w:before="100"/>
      </w:pPr>
      <w:r>
        <w:rPr>
          <w:rFonts w:hint="eastAsia" w:ascii="Songti SC" w:hAnsi="Songti SC" w:eastAsia="Songti SC" w:cs="Songti SC"/>
          <w:b/>
          <w:sz w:val="21"/>
        </w:rPr>
        <w:t xml:space="preserve">关键词  </w:t>
      </w:r>
      <w:r>
        <w:rPr>
          <w:rFonts w:hint="eastAsia" w:ascii="Songti SC" w:hAnsi="Songti SC" w:eastAsia="Songti SC" w:cs="Songti SC"/>
          <w:sz w:val="21"/>
        </w:rPr>
        <w:t>泰山经方  经方诊疗  标准病案  真实世界研究  数字中医药  非遗传承</w:t>
      </w:r>
    </w:p>
    <w:p w14:paraId="4F3D8DDA">
      <w:pPr>
        <w:pStyle w:val="4"/>
      </w:pPr>
      <w:r>
        <w:rPr>
          <w:rFonts w:hint="eastAsia" w:ascii="Hiragino Sans GB" w:hAnsi="Hiragino Sans GB" w:eastAsia="Hiragino Sans GB" w:cs="Hiragino Sans GB"/>
        </w:rPr>
        <w:t>适用范围</w:t>
      </w:r>
    </w:p>
    <w:p w14:paraId="4D6A3621">
      <w:pPr>
        <w:ind w:firstLine="420"/>
      </w:pPr>
      <w:r>
        <w:rPr>
          <w:rFonts w:hint="eastAsia" w:ascii="Songti SC" w:hAnsi="Songti SC" w:eastAsia="Songti SC" w:cs="Songti SC"/>
          <w:sz w:val="21"/>
        </w:rPr>
        <w:t>本白皮书用于阐明学术框架、建设路径与治理原则，不构成面向患者的诊断、处方或用药指南。涉及诊疗、处方和健康管理的内容，均须由具备相应资质的专业人员结合个体情况实施，并遵守现行法律法规、医疗规范和伦理要求。</w:t>
      </w:r>
    </w:p>
    <w:p w14:paraId="60F58597">
      <w:pPr>
        <w:pStyle w:val="4"/>
        <w:pageBreakBefore/>
      </w:pPr>
      <w:r>
        <w:rPr>
          <w:rFonts w:hint="eastAsia" w:ascii="Hiragino Sans GB" w:hAnsi="Hiragino Sans GB" w:eastAsia="Hiragino Sans GB" w:cs="Hiragino Sans GB"/>
        </w:rPr>
        <w:t>目录</w:t>
      </w:r>
    </w:p>
    <w:p w14:paraId="422E9EA6">
      <w:pPr>
        <w:spacing w:after="40"/>
        <w:ind w:left="283"/>
      </w:pPr>
      <w:r>
        <w:rPr>
          <w:rFonts w:hint="eastAsia" w:ascii="Songti SC" w:hAnsi="Songti SC" w:eastAsia="Songti SC" w:cs="Songti SC"/>
          <w:sz w:val="20"/>
        </w:rPr>
        <w:t>前言</w:t>
      </w:r>
    </w:p>
    <w:p w14:paraId="0683BFBD">
      <w:pPr>
        <w:spacing w:after="40"/>
        <w:ind w:left="283"/>
      </w:pPr>
      <w:r>
        <w:rPr>
          <w:rFonts w:hint="eastAsia" w:ascii="Songti SC" w:hAnsi="Songti SC" w:eastAsia="Songti SC" w:cs="Songti SC"/>
          <w:sz w:val="20"/>
        </w:rPr>
        <w:t>一 时代背景 从中医药传承创新到数字中医药</w:t>
      </w:r>
    </w:p>
    <w:p w14:paraId="11782E6D">
      <w:pPr>
        <w:spacing w:after="40"/>
        <w:ind w:left="283"/>
      </w:pPr>
      <w:r>
        <w:rPr>
          <w:rFonts w:hint="eastAsia" w:ascii="Songti SC" w:hAnsi="Songti SC" w:eastAsia="Songti SC" w:cs="Songti SC"/>
          <w:sz w:val="20"/>
        </w:rPr>
        <w:t>二 人民需求 中医药现代化的根本落点在民生</w:t>
      </w:r>
    </w:p>
    <w:p w14:paraId="17D1C120">
      <w:pPr>
        <w:spacing w:after="40"/>
        <w:ind w:left="283"/>
      </w:pPr>
      <w:r>
        <w:rPr>
          <w:rFonts w:hint="eastAsia" w:ascii="Songti SC" w:hAnsi="Songti SC" w:eastAsia="Songti SC" w:cs="Songti SC"/>
          <w:sz w:val="20"/>
        </w:rPr>
        <w:t>三 流派定位 以经方为体 以标准化为用</w:t>
      </w:r>
    </w:p>
    <w:p w14:paraId="28239601">
      <w:pPr>
        <w:spacing w:after="40"/>
        <w:ind w:left="283"/>
      </w:pPr>
      <w:r>
        <w:rPr>
          <w:rFonts w:hint="eastAsia" w:ascii="Songti SC" w:hAnsi="Songti SC" w:eastAsia="Songti SC" w:cs="Songti SC"/>
          <w:sz w:val="20"/>
        </w:rPr>
        <w:t>四 学术体系 从经典源流到现代标准</w:t>
      </w:r>
    </w:p>
    <w:p w14:paraId="21F49FD6">
      <w:pPr>
        <w:spacing w:after="40"/>
        <w:ind w:left="283"/>
      </w:pPr>
      <w:r>
        <w:rPr>
          <w:rFonts w:hint="eastAsia" w:ascii="Songti SC" w:hAnsi="Songti SC" w:eastAsia="Songti SC" w:cs="Songti SC"/>
          <w:sz w:val="20"/>
        </w:rPr>
        <w:t>五 临床体系 一套可执行的标准化诊疗流程</w:t>
      </w:r>
    </w:p>
    <w:p w14:paraId="6DB26CFE">
      <w:pPr>
        <w:spacing w:after="40"/>
        <w:ind w:left="283"/>
      </w:pPr>
      <w:r>
        <w:rPr>
          <w:rFonts w:hint="eastAsia" w:ascii="Songti SC" w:hAnsi="Songti SC" w:eastAsia="Songti SC" w:cs="Songti SC"/>
          <w:sz w:val="20"/>
        </w:rPr>
        <w:t>六 数字化体系 本地知识库、标准病案库与辅助系统</w:t>
      </w:r>
    </w:p>
    <w:p w14:paraId="2FA3D591">
      <w:pPr>
        <w:spacing w:after="120"/>
        <w:ind w:left="283"/>
      </w:pPr>
      <w:r>
        <w:t>七 民生价值 提升中医药服务规范性与可及性</w:t>
      </w:r>
    </w:p>
    <w:p w14:paraId="1CB4A174">
      <w:pPr>
        <w:pageBreakBefore w:val="0"/>
        <w:spacing w:after="40"/>
        <w:ind w:left="283"/>
      </w:pPr>
      <w:r>
        <w:rPr>
          <w:rFonts w:hint="eastAsia" w:ascii="Songti SC" w:hAnsi="Songti SC" w:eastAsia="Songti SC" w:cs="Songti SC"/>
          <w:sz w:val="20"/>
        </w:rPr>
        <w:t>八 证据建设 从个案经验到真实世界研究</w:t>
      </w:r>
    </w:p>
    <w:p w14:paraId="0934B7EF">
      <w:pPr>
        <w:spacing w:after="40"/>
        <w:ind w:left="283"/>
      </w:pPr>
      <w:r>
        <w:rPr>
          <w:rFonts w:hint="eastAsia" w:ascii="Songti SC" w:hAnsi="Songti SC" w:eastAsia="Songti SC" w:cs="Songti SC"/>
          <w:sz w:val="20"/>
        </w:rPr>
        <w:t>九 产业与平台建设 非遗保护、教育培训与智慧工具协同</w:t>
      </w:r>
    </w:p>
    <w:p w14:paraId="76263ADF">
      <w:pPr>
        <w:spacing w:after="40"/>
        <w:ind w:left="283"/>
      </w:pPr>
      <w:r>
        <w:rPr>
          <w:rFonts w:hint="eastAsia" w:ascii="Songti SC" w:hAnsi="Songti SC" w:eastAsia="Songti SC" w:cs="Songti SC"/>
          <w:sz w:val="20"/>
        </w:rPr>
        <w:t>十 国际视野 让中国经方以标准、证据与人文走向世界</w:t>
      </w:r>
    </w:p>
    <w:p w14:paraId="16AE1A2D">
      <w:pPr>
        <w:spacing w:after="40"/>
        <w:ind w:left="283"/>
      </w:pPr>
      <w:r>
        <w:rPr>
          <w:rFonts w:hint="eastAsia" w:ascii="Songti SC" w:hAnsi="Songti SC" w:eastAsia="Songti SC" w:cs="Songti SC"/>
          <w:sz w:val="20"/>
        </w:rPr>
        <w:t>十一 合规、伦理与风险治理</w:t>
      </w:r>
    </w:p>
    <w:p w14:paraId="6E4A5406">
      <w:pPr>
        <w:spacing w:after="40"/>
        <w:ind w:left="283"/>
      </w:pPr>
      <w:r>
        <w:rPr>
          <w:rFonts w:hint="eastAsia" w:ascii="Songti SC" w:hAnsi="Songti SC" w:eastAsia="Songti SC" w:cs="Songti SC"/>
          <w:sz w:val="20"/>
        </w:rPr>
        <w:t>十二 发展路线图</w:t>
      </w:r>
    </w:p>
    <w:p w14:paraId="7331B6B1">
      <w:pPr>
        <w:spacing w:after="40"/>
        <w:ind w:left="283"/>
      </w:pPr>
      <w:r>
        <w:rPr>
          <w:rFonts w:hint="eastAsia" w:ascii="Songti SC" w:hAnsi="Songti SC" w:eastAsia="Songti SC" w:cs="Songti SC"/>
          <w:sz w:val="20"/>
        </w:rPr>
        <w:t>十三 实施建议</w:t>
      </w:r>
    </w:p>
    <w:p w14:paraId="39424027">
      <w:pPr>
        <w:spacing w:after="40"/>
        <w:ind w:left="283"/>
      </w:pPr>
      <w:r>
        <w:rPr>
          <w:rFonts w:hint="eastAsia" w:ascii="Songti SC" w:hAnsi="Songti SC" w:eastAsia="Songti SC" w:cs="Songti SC"/>
          <w:sz w:val="20"/>
        </w:rPr>
        <w:t>十四 结语</w:t>
      </w:r>
    </w:p>
    <w:p w14:paraId="21D073C5">
      <w:pPr>
        <w:spacing w:after="40"/>
        <w:ind w:left="283"/>
      </w:pPr>
      <w:r>
        <w:t>参考文献与项目依据</w:t>
      </w:r>
    </w:p>
    <w:p w14:paraId="10DAEADC">
      <w:r>
        <w:rPr>
          <w:rFonts w:hint="eastAsia" w:ascii="Songti SC" w:hAnsi="Songti SC" w:eastAsia="Songti SC" w:cs="Songti SC"/>
        </w:rPr>
        <w:br w:type="page"/>
      </w:r>
    </w:p>
    <w:p w14:paraId="50D41CEF">
      <w:pPr>
        <w:pStyle w:val="3"/>
      </w:pPr>
      <w:r>
        <w:rPr>
          <w:rFonts w:hint="eastAsia" w:ascii="Hiragino Sans GB" w:hAnsi="Hiragino Sans GB" w:eastAsia="Hiragino Sans GB" w:cs="Hiragino Sans GB"/>
        </w:rPr>
        <w:t>前言</w:t>
      </w:r>
    </w:p>
    <w:p w14:paraId="2FBF5315">
      <w:pPr>
        <w:ind w:firstLine="420"/>
      </w:pPr>
      <w:r>
        <w:rPr>
          <w:rFonts w:hint="eastAsia" w:ascii="Songti SC" w:hAnsi="Songti SC" w:eastAsia="Songti SC" w:cs="Songti SC"/>
          <w:sz w:val="21"/>
        </w:rPr>
        <w:t>中医药是中华文明的重要组成部分，也是我国医疗卫生服务体系的重要资源。进入数字时代，中医药传承创新需要同时处理好经典传承、临床安全、经验整理与证据建设之间的关系，使学术流派的理论、方法和病例资料能够被规范记录、系统学习、持续复核和稳妥传承。</w:t>
      </w:r>
    </w:p>
    <w:p w14:paraId="453AE1BA">
      <w:pPr>
        <w:ind w:firstLine="420"/>
      </w:pPr>
      <w:r>
        <w:rPr>
          <w:rFonts w:hint="eastAsia" w:ascii="Songti SC" w:hAnsi="Songti SC" w:eastAsia="Songti SC" w:cs="Songti SC"/>
          <w:sz w:val="21"/>
        </w:rPr>
        <w:t>泰山经方标准化诊疗法是在这一背景下形成的中医学术流派建设方案。本法以《黄帝内经》《难经》《伤寒杂病论》《普济方》等经典医籍为理论来源，以泰山地域文化与非遗传承实践为基础，以经方方证为临床落点，以标准病案、数字知识库、真实世界疗效复盘和人才培养为支撑，旨在将传统中医诊疗经验整理为可执行、可记录、可复核的临床流程和传承体系。</w:t>
      </w:r>
    </w:p>
    <w:p w14:paraId="226924B3">
      <w:pPr>
        <w:ind w:firstLine="420"/>
      </w:pPr>
      <w:r>
        <w:rPr>
          <w:rFonts w:hint="eastAsia" w:ascii="Songti SC" w:hAnsi="Songti SC" w:eastAsia="Songti SC" w:cs="Songti SC"/>
          <w:sz w:val="21"/>
        </w:rPr>
        <w:t>本白皮书提出，在尊重中医原创思维和临床规律的前提下，建立贯通“时、象、脉、证、方、效”的标准化诊疗体系。表格与数字工具用于规范记录、辅助合参和支持复盘，不能替代医师辨证与临床责任。该体系服务于经方临床、非遗传承、人才培养和真实世界证据建设。</w:t>
      </w:r>
    </w:p>
    <w:p w14:paraId="599CAE63">
      <w:pPr>
        <w:pStyle w:val="3"/>
      </w:pPr>
      <w:r>
        <w:rPr>
          <w:rFonts w:hint="eastAsia" w:ascii="Hiragino Sans GB" w:hAnsi="Hiragino Sans GB" w:eastAsia="Hiragino Sans GB" w:cs="Hiragino Sans GB"/>
        </w:rPr>
        <w:t>一 时代背景 从中医药传承创新到数字中医药</w:t>
      </w:r>
    </w:p>
    <w:p w14:paraId="7279C65D">
      <w:pPr>
        <w:pStyle w:val="4"/>
      </w:pPr>
      <w:r>
        <w:rPr>
          <w:rFonts w:hint="eastAsia" w:ascii="Hiragino Sans GB" w:hAnsi="Hiragino Sans GB" w:eastAsia="Hiragino Sans GB" w:cs="Hiragino Sans GB"/>
        </w:rPr>
        <w:t>1 国家战略为中医药发展打开新空间</w:t>
      </w:r>
    </w:p>
    <w:p w14:paraId="37A813E8">
      <w:pPr>
        <w:ind w:firstLine="420"/>
      </w:pPr>
      <w:r>
        <w:rPr>
          <w:rFonts w:hint="eastAsia" w:ascii="Songti SC" w:hAnsi="Songti SC" w:eastAsia="Songti SC" w:cs="Songti SC"/>
          <w:sz w:val="21"/>
        </w:rPr>
        <w:t>国家层面已经把中医药放在健康中国建设和中华优秀传统文化传承发展的重要位置。《“健康中国2030”规划纲要》提出优化健康服务，并专章强调发挥中医药独特优势；《关于促进中医药传承创新发展的意见》强调把中医药这一祖先留给我们的宝贵财富继承好、发展好、利用好；《“十四五”中医药发展规划》进一步明确中医药传承创新、服务体系、人才队伍、文化传播和国际合作等任务。</w:t>
      </w:r>
    </w:p>
    <w:p w14:paraId="1C79EDDB">
      <w:pPr>
        <w:ind w:firstLine="420"/>
      </w:pPr>
      <w:r>
        <w:rPr>
          <w:rFonts w:hint="eastAsia" w:ascii="Songti SC" w:hAnsi="Songti SC" w:eastAsia="Songti SC" w:cs="Songti SC"/>
          <w:sz w:val="21"/>
        </w:rPr>
        <w:t>2026年7月，国务院原则同意《中医药振兴发展“十五五”规划》，要求完善中医药传承创新发展机制，加快推进中医药现代化并推动中医药走向世界。泰山经方标准化诊疗法可结合地方流派、非遗传承和基层实践，推进标准建设、临床研究、人才培养与协同应用。</w:t>
      </w:r>
    </w:p>
    <w:p w14:paraId="2C9E2DBB">
      <w:pPr>
        <w:pStyle w:val="4"/>
      </w:pPr>
      <w:r>
        <w:rPr>
          <w:rFonts w:hint="eastAsia" w:ascii="Hiragino Sans GB" w:hAnsi="Hiragino Sans GB" w:eastAsia="Hiragino Sans GB" w:cs="Hiragino Sans GB"/>
        </w:rPr>
        <w:t>2 数字中国要求中医药从“经验保存”走向“数据治理”</w:t>
      </w:r>
    </w:p>
    <w:p w14:paraId="596796C3">
      <w:pPr>
        <w:ind w:firstLine="420"/>
      </w:pPr>
      <w:r>
        <w:rPr>
          <w:rFonts w:hint="eastAsia" w:ascii="Songti SC" w:hAnsi="Songti SC" w:eastAsia="Songti SC" w:cs="Songti SC"/>
          <w:sz w:val="21"/>
        </w:rPr>
        <w:t>《数字中国建设整体布局规划》强调数据资源体系、数字技术创新和数字安全。中医药数字化不仅包括纸质资料电子化，还包括数据结构标准化、病案质量控制、知识库治理、隐私保护和安全合规。</w:t>
      </w:r>
    </w:p>
    <w:p w14:paraId="1C5A4B9B">
      <w:pPr>
        <w:ind w:firstLine="420"/>
      </w:pPr>
      <w:r>
        <w:rPr>
          <w:rFonts w:hint="eastAsia" w:ascii="Songti SC" w:hAnsi="Songti SC" w:eastAsia="Songti SC" w:cs="Songti SC"/>
          <w:sz w:val="21"/>
        </w:rPr>
        <w:t>国家中医药管理局、国家数据局《关于促进数字中医药发展的若干意见》明确提出，推动大数据、人工智能等新兴数字技术融入中医药传承创新发展全链条，建设数字化传承工作室、数字诊室，利用数字技术复现名老中医诊疗过程和诊疗思路，采集具有临床结局的高质量数据，通过临床疗效反馈优化诊疗方案。</w:t>
      </w:r>
    </w:p>
    <w:p w14:paraId="68C072FD">
      <w:pPr>
        <w:ind w:firstLine="420"/>
      </w:pPr>
      <w:r>
        <w:rPr>
          <w:rFonts w:hint="eastAsia" w:ascii="Songti SC" w:hAnsi="Songti SC" w:eastAsia="Songti SC" w:cs="Songti SC"/>
          <w:sz w:val="21"/>
        </w:rPr>
        <w:t>泰山经方标准化诊疗法所建设的本地知识库、标准病案库、临床操作规范和小程序设计，正是对“数智中医药”的基层实践回应。</w:t>
      </w:r>
    </w:p>
    <w:p w14:paraId="1240FA94">
      <w:pPr>
        <w:pStyle w:val="4"/>
      </w:pPr>
      <w:r>
        <w:rPr>
          <w:rFonts w:hint="eastAsia" w:ascii="Hiragino Sans GB" w:hAnsi="Hiragino Sans GB" w:eastAsia="Hiragino Sans GB" w:cs="Hiragino Sans GB"/>
        </w:rPr>
        <w:t>3 国际传统医学进入证据化、系统化、数字化阶段</w:t>
      </w:r>
    </w:p>
    <w:p w14:paraId="67C11822">
      <w:pPr>
        <w:ind w:firstLine="420"/>
      </w:pPr>
      <w:r>
        <w:rPr>
          <w:rFonts w:hint="eastAsia" w:ascii="Songti SC" w:hAnsi="Songti SC" w:eastAsia="Songti SC" w:cs="Songti SC"/>
          <w:sz w:val="21"/>
        </w:rPr>
        <w:t>世界卫生组织已设立全球传统医学中心。世界卫生大会于2025年通过《全球传统医学战略2025—2034》，提出加强证据基础、保障安全与监管、推动传统医学适当融入卫生系统，并关注其跨部门价值。</w:t>
      </w:r>
    </w:p>
    <w:p w14:paraId="5D090FBD">
      <w:pPr>
        <w:ind w:firstLine="420"/>
      </w:pPr>
      <w:r>
        <w:rPr>
          <w:rFonts w:hint="eastAsia" w:ascii="Songti SC" w:hAnsi="Songti SC" w:eastAsia="Songti SC" w:cs="Songti SC"/>
          <w:sz w:val="21"/>
        </w:rPr>
        <w:t>中医药的国际交流需要清晰的理论说明、可执行的临床路径、可审查的数据治理、可评价的疗效指标和明确的安全边界。泰山经方标准化诊疗法可据此完善术语体系、临床培训、标准病案与队列观察，使传统经验具备跨文化理解和专业审查所需的表达基础。</w:t>
      </w:r>
    </w:p>
    <w:p w14:paraId="67C0F4E9">
      <w:pPr>
        <w:pStyle w:val="3"/>
      </w:pPr>
      <w:r>
        <w:rPr>
          <w:rFonts w:hint="eastAsia" w:ascii="Hiragino Sans GB" w:hAnsi="Hiragino Sans GB" w:eastAsia="Hiragino Sans GB" w:cs="Hiragino Sans GB"/>
        </w:rPr>
        <w:t>二 人民需求 中医药现代化的根本落点在民生</w:t>
      </w:r>
    </w:p>
    <w:p w14:paraId="4EECCA96">
      <w:pPr>
        <w:ind w:firstLine="420"/>
      </w:pPr>
      <w:r>
        <w:rPr>
          <w:rFonts w:hint="eastAsia" w:ascii="Songti SC" w:hAnsi="Songti SC" w:eastAsia="Songti SC" w:cs="Songti SC"/>
          <w:sz w:val="21"/>
        </w:rPr>
        <w:t>中医药传承创新应以保障人民健康为出发点。当前基层医疗与家庭健康管理仍面临以下实际问题：</w:t>
      </w:r>
    </w:p>
    <w:p w14:paraId="194889DF">
      <w:pPr>
        <w:spacing w:after="60"/>
        <w:ind w:left="425" w:hanging="312"/>
      </w:pPr>
      <w:r>
        <w:rPr>
          <w:rFonts w:hint="eastAsia" w:ascii="Songti SC" w:hAnsi="Songti SC" w:eastAsia="Songti SC" w:cs="Songti SC"/>
          <w:sz w:val="21"/>
        </w:rPr>
        <w:t>•  慢性病、亚健康、失眠、疲劳、脾胃失调、情志相关问题、老年体质衰退等需求广泛存在。</w:t>
      </w:r>
    </w:p>
    <w:p w14:paraId="08CFBA90">
      <w:pPr>
        <w:spacing w:after="60"/>
        <w:ind w:left="425" w:hanging="312"/>
      </w:pPr>
      <w:r>
        <w:rPr>
          <w:rFonts w:hint="eastAsia" w:ascii="Songti SC" w:hAnsi="Songti SC" w:eastAsia="Songti SC" w:cs="Songti SC"/>
          <w:sz w:val="21"/>
        </w:rPr>
        <w:t>•  群众希望获得更个体化、更连续、更重视体质和生活方式的健康服务。</w:t>
      </w:r>
    </w:p>
    <w:p w14:paraId="5692F932">
      <w:pPr>
        <w:spacing w:after="60"/>
        <w:ind w:left="425" w:hanging="312"/>
      </w:pPr>
      <w:r>
        <w:rPr>
          <w:rFonts w:hint="eastAsia" w:ascii="Songti SC" w:hAnsi="Songti SC" w:eastAsia="Songti SC" w:cs="Songti SC"/>
          <w:sz w:val="21"/>
        </w:rPr>
        <w:t>•  基层中医服务需要更规范的病案记录、诊疗流程和复诊管理。</w:t>
      </w:r>
    </w:p>
    <w:p w14:paraId="4CC9AD70">
      <w:pPr>
        <w:spacing w:after="60"/>
        <w:ind w:left="425" w:hanging="312"/>
      </w:pPr>
      <w:r>
        <w:rPr>
          <w:rFonts w:hint="eastAsia" w:ascii="Songti SC" w:hAnsi="Songti SC" w:eastAsia="Songti SC" w:cs="Songti SC"/>
          <w:sz w:val="21"/>
        </w:rPr>
        <w:t>•  优秀中医经验常依赖个人口传心授，难以稳定复制。</w:t>
      </w:r>
    </w:p>
    <w:p w14:paraId="39C23987">
      <w:pPr>
        <w:spacing w:after="60"/>
        <w:ind w:left="425" w:hanging="312"/>
      </w:pPr>
      <w:r>
        <w:rPr>
          <w:rFonts w:hint="eastAsia" w:ascii="Songti SC" w:hAnsi="Songti SC" w:eastAsia="Songti SC" w:cs="Songti SC"/>
          <w:sz w:val="21"/>
        </w:rPr>
        <w:t>•  互联网健康信息良莠不齐，容易造成自诊、自购药和误治风险。</w:t>
      </w:r>
    </w:p>
    <w:p w14:paraId="6B302E4D">
      <w:pPr>
        <w:ind w:firstLine="420"/>
      </w:pPr>
      <w:r>
        <w:rPr>
          <w:rFonts w:hint="eastAsia" w:ascii="Songti SC" w:hAnsi="Songti SC" w:eastAsia="Songti SC" w:cs="Songti SC"/>
          <w:sz w:val="21"/>
        </w:rPr>
        <w:t>泰山经方标准化诊疗法将安全、规范与可及性作为实施前提。患者不应绕过医师自行开方。临床服务应通过标准化接诊、病案采集、复诊随访、疗效评价和风险转诊明确服务边界，提高连续性与可追溯性。</w:t>
      </w:r>
    </w:p>
    <w:p w14:paraId="7A6789B9">
      <w:pPr>
        <w:pStyle w:val="3"/>
      </w:pPr>
      <w:r>
        <w:rPr>
          <w:rFonts w:hint="eastAsia" w:ascii="Hiragino Sans GB" w:hAnsi="Hiragino Sans GB" w:eastAsia="Hiragino Sans GB" w:cs="Hiragino Sans GB"/>
        </w:rPr>
        <w:t>三 流派定位 以经方为体 以标准化为用</w:t>
      </w:r>
    </w:p>
    <w:p w14:paraId="369C6C8C">
      <w:pPr>
        <w:pStyle w:val="4"/>
      </w:pPr>
      <w:r>
        <w:rPr>
          <w:rFonts w:hint="eastAsia" w:ascii="Hiragino Sans GB" w:hAnsi="Hiragino Sans GB" w:eastAsia="Hiragino Sans GB" w:cs="Hiragino Sans GB"/>
        </w:rPr>
        <w:t>1 基本定义</w:t>
      </w:r>
    </w:p>
    <w:p w14:paraId="76402174">
      <w:pPr>
        <w:ind w:firstLine="420"/>
      </w:pPr>
      <w:r>
        <w:rPr>
          <w:rFonts w:hint="eastAsia" w:ascii="Songti SC" w:hAnsi="Songti SC" w:eastAsia="Songti SC" w:cs="Songti SC"/>
          <w:sz w:val="21"/>
        </w:rPr>
        <w:t>泰山经方标准化诊疗法，是以五运六气和干支象数推演判定发病时空中的病性、病位与病势，以《难经》五色、五嗅、五味、五声、五液及脉诊法采集人体外显信息，以《伤寒杂病论》经方方证体系完成辨证论治和处方决策，并通过标准化病案、复诊评估和数字化工具进行传承、验证与推广的中医诊疗方法。</w:t>
      </w:r>
    </w:p>
    <w:p w14:paraId="47D57645">
      <w:pPr>
        <w:ind w:firstLine="420"/>
      </w:pPr>
      <w:r>
        <w:rPr>
          <w:rFonts w:hint="eastAsia" w:ascii="Songti SC" w:hAnsi="Songti SC" w:eastAsia="Songti SC" w:cs="Songti SC"/>
          <w:sz w:val="21"/>
        </w:rPr>
        <w:t>其临床核心为“时、象、脉、证、方、效”：</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043"/>
        <w:gridCol w:w="3043"/>
        <w:gridCol w:w="3043"/>
      </w:tblGrid>
      <w:tr w14:paraId="18A7B84F">
        <w:trPr>
          <w:cantSplit/>
          <w:tblHeader/>
          <w:jc w:val="center"/>
        </w:trPr>
        <w:tc>
          <w:tcPr>
            <w:tcW w:w="1531" w:type="dxa"/>
            <w:shd w:val="clear" w:color="auto" w:fill="404040"/>
            <w:tcMar>
              <w:top w:w="70" w:type="dxa"/>
              <w:left w:w="120" w:type="dxa"/>
              <w:bottom w:w="70" w:type="dxa"/>
              <w:right w:w="120" w:type="dxa"/>
            </w:tcMar>
            <w:vAlign w:val="center"/>
          </w:tcPr>
          <w:p w14:paraId="2C0D8E0C">
            <w:pPr>
              <w:spacing w:after="0" w:line="240" w:lineRule="auto"/>
              <w:jc w:val="center"/>
            </w:pPr>
            <w:r>
              <w:rPr>
                <w:rFonts w:hint="eastAsia" w:ascii="Hiragino Sans GB" w:hAnsi="Hiragino Sans GB" w:eastAsia="Hiragino Sans GB" w:cs="Hiragino Sans GB"/>
                <w:b/>
                <w:color w:val="FFFFFF"/>
                <w:sz w:val="17"/>
              </w:rPr>
              <w:t>核心</w:t>
            </w:r>
          </w:p>
        </w:tc>
        <w:tc>
          <w:tcPr>
            <w:tcW w:w="3543" w:type="dxa"/>
            <w:shd w:val="clear" w:color="auto" w:fill="404040"/>
            <w:tcMar>
              <w:top w:w="70" w:type="dxa"/>
              <w:left w:w="120" w:type="dxa"/>
              <w:bottom w:w="70" w:type="dxa"/>
              <w:right w:w="120" w:type="dxa"/>
            </w:tcMar>
            <w:vAlign w:val="center"/>
          </w:tcPr>
          <w:p w14:paraId="2EFC0B9C">
            <w:pPr>
              <w:spacing w:after="0" w:line="240" w:lineRule="auto"/>
              <w:jc w:val="center"/>
            </w:pPr>
            <w:r>
              <w:rPr>
                <w:rFonts w:hint="eastAsia" w:ascii="Hiragino Sans GB" w:hAnsi="Hiragino Sans GB" w:eastAsia="Hiragino Sans GB" w:cs="Hiragino Sans GB"/>
                <w:b/>
                <w:color w:val="FFFFFF"/>
                <w:sz w:val="17"/>
              </w:rPr>
              <w:t>含义</w:t>
            </w:r>
          </w:p>
        </w:tc>
        <w:tc>
          <w:tcPr>
            <w:tcW w:w="3543" w:type="dxa"/>
            <w:shd w:val="clear" w:color="auto" w:fill="404040"/>
            <w:tcMar>
              <w:top w:w="70" w:type="dxa"/>
              <w:left w:w="120" w:type="dxa"/>
              <w:bottom w:w="70" w:type="dxa"/>
              <w:right w:w="120" w:type="dxa"/>
            </w:tcMar>
            <w:vAlign w:val="center"/>
          </w:tcPr>
          <w:p w14:paraId="4B3E207D">
            <w:pPr>
              <w:spacing w:after="0" w:line="240" w:lineRule="auto"/>
              <w:jc w:val="center"/>
            </w:pPr>
            <w:r>
              <w:rPr>
                <w:rFonts w:hint="eastAsia" w:ascii="Hiragino Sans GB" w:hAnsi="Hiragino Sans GB" w:eastAsia="Hiragino Sans GB" w:cs="Hiragino Sans GB"/>
                <w:b/>
                <w:color w:val="FFFFFF"/>
                <w:sz w:val="17"/>
              </w:rPr>
              <w:t>临床作用</w:t>
            </w:r>
          </w:p>
        </w:tc>
      </w:tr>
      <w:tr w14:paraId="55338EF9">
        <w:trPr>
          <w:cantSplit/>
          <w:jc w:val="center"/>
        </w:trPr>
        <w:tc>
          <w:tcPr>
            <w:tcW w:w="1531" w:type="dxa"/>
            <w:tcMar>
              <w:top w:w="70" w:type="dxa"/>
              <w:left w:w="120" w:type="dxa"/>
              <w:bottom w:w="70" w:type="dxa"/>
              <w:right w:w="120" w:type="dxa"/>
            </w:tcMar>
            <w:vAlign w:val="center"/>
          </w:tcPr>
          <w:p w14:paraId="768F6E66">
            <w:pPr>
              <w:spacing w:after="0" w:line="240" w:lineRule="auto"/>
              <w:jc w:val="center"/>
            </w:pPr>
            <w:r>
              <w:rPr>
                <w:rFonts w:hint="eastAsia" w:ascii="Songti SC" w:hAnsi="Songti SC" w:eastAsia="Songti SC" w:cs="Songti SC"/>
                <w:b w:val="0"/>
                <w:color w:val="000000"/>
                <w:sz w:val="17"/>
              </w:rPr>
              <w:t>时</w:t>
            </w:r>
          </w:p>
        </w:tc>
        <w:tc>
          <w:tcPr>
            <w:tcW w:w="3543" w:type="dxa"/>
            <w:tcMar>
              <w:top w:w="70" w:type="dxa"/>
              <w:left w:w="120" w:type="dxa"/>
              <w:bottom w:w="70" w:type="dxa"/>
              <w:right w:w="120" w:type="dxa"/>
            </w:tcMar>
            <w:vAlign w:val="center"/>
          </w:tcPr>
          <w:p w14:paraId="1E23CE9C">
            <w:pPr>
              <w:spacing w:after="0" w:line="240" w:lineRule="auto"/>
              <w:jc w:val="left"/>
            </w:pPr>
            <w:r>
              <w:rPr>
                <w:rFonts w:hint="eastAsia" w:ascii="Songti SC" w:hAnsi="Songti SC" w:eastAsia="Songti SC" w:cs="Songti SC"/>
                <w:b w:val="0"/>
                <w:color w:val="000000"/>
                <w:sz w:val="17"/>
              </w:rPr>
              <w:t>出生年地支、性别、发病日干支、节气、气候</w:t>
            </w:r>
          </w:p>
        </w:tc>
        <w:tc>
          <w:tcPr>
            <w:tcW w:w="3543" w:type="dxa"/>
            <w:tcMar>
              <w:top w:w="70" w:type="dxa"/>
              <w:left w:w="120" w:type="dxa"/>
              <w:bottom w:w="70" w:type="dxa"/>
              <w:right w:w="120" w:type="dxa"/>
            </w:tcMar>
            <w:vAlign w:val="center"/>
          </w:tcPr>
          <w:p w14:paraId="117F04A1">
            <w:pPr>
              <w:spacing w:after="0" w:line="240" w:lineRule="auto"/>
              <w:jc w:val="left"/>
            </w:pPr>
            <w:r>
              <w:rPr>
                <w:rFonts w:hint="eastAsia" w:ascii="Songti SC" w:hAnsi="Songti SC" w:eastAsia="Songti SC" w:cs="Songti SC"/>
                <w:b w:val="0"/>
                <w:color w:val="000000"/>
                <w:sz w:val="17"/>
              </w:rPr>
              <w:t>建立发病时空气化背景</w:t>
            </w:r>
          </w:p>
        </w:tc>
      </w:tr>
      <w:tr w14:paraId="38266B84">
        <w:trPr>
          <w:cantSplit/>
          <w:jc w:val="center"/>
        </w:trPr>
        <w:tc>
          <w:tcPr>
            <w:tcW w:w="1531" w:type="dxa"/>
            <w:shd w:val="clear" w:color="auto" w:fill="F3F6FA"/>
            <w:tcMar>
              <w:top w:w="70" w:type="dxa"/>
              <w:left w:w="120" w:type="dxa"/>
              <w:bottom w:w="70" w:type="dxa"/>
              <w:right w:w="120" w:type="dxa"/>
            </w:tcMar>
            <w:vAlign w:val="center"/>
          </w:tcPr>
          <w:p w14:paraId="6861F227">
            <w:pPr>
              <w:spacing w:after="0" w:line="240" w:lineRule="auto"/>
              <w:jc w:val="center"/>
            </w:pPr>
            <w:r>
              <w:rPr>
                <w:rFonts w:hint="eastAsia" w:ascii="Songti SC" w:hAnsi="Songti SC" w:eastAsia="Songti SC" w:cs="Songti SC"/>
                <w:b w:val="0"/>
                <w:color w:val="000000"/>
                <w:sz w:val="17"/>
              </w:rPr>
              <w:t>象</w:t>
            </w:r>
          </w:p>
        </w:tc>
        <w:tc>
          <w:tcPr>
            <w:tcW w:w="3543" w:type="dxa"/>
            <w:shd w:val="clear" w:color="auto" w:fill="F3F6FA"/>
            <w:tcMar>
              <w:top w:w="70" w:type="dxa"/>
              <w:left w:w="120" w:type="dxa"/>
              <w:bottom w:w="70" w:type="dxa"/>
              <w:right w:w="120" w:type="dxa"/>
            </w:tcMar>
            <w:vAlign w:val="center"/>
          </w:tcPr>
          <w:p w14:paraId="27FF1031">
            <w:pPr>
              <w:spacing w:after="0" w:line="240" w:lineRule="auto"/>
              <w:jc w:val="left"/>
            </w:pPr>
            <w:r>
              <w:rPr>
                <w:rFonts w:hint="eastAsia" w:ascii="Songti SC" w:hAnsi="Songti SC" w:eastAsia="Songti SC" w:cs="Songti SC"/>
                <w:b w:val="0"/>
                <w:color w:val="000000"/>
                <w:sz w:val="17"/>
              </w:rPr>
              <w:t>五色、五嗅、五味、五声、五液和症候外候</w:t>
            </w:r>
          </w:p>
        </w:tc>
        <w:tc>
          <w:tcPr>
            <w:tcW w:w="3543" w:type="dxa"/>
            <w:shd w:val="clear" w:color="auto" w:fill="F3F6FA"/>
            <w:tcMar>
              <w:top w:w="70" w:type="dxa"/>
              <w:left w:w="120" w:type="dxa"/>
              <w:bottom w:w="70" w:type="dxa"/>
              <w:right w:w="120" w:type="dxa"/>
            </w:tcMar>
            <w:vAlign w:val="center"/>
          </w:tcPr>
          <w:p w14:paraId="3352E0FF">
            <w:pPr>
              <w:spacing w:after="0" w:line="240" w:lineRule="auto"/>
              <w:jc w:val="left"/>
            </w:pPr>
            <w:r>
              <w:rPr>
                <w:rFonts w:hint="eastAsia" w:ascii="Songti SC" w:hAnsi="Songti SC" w:eastAsia="Songti SC" w:cs="Songti SC"/>
                <w:b w:val="0"/>
                <w:color w:val="000000"/>
                <w:sz w:val="17"/>
              </w:rPr>
              <w:t>校验病性病位</w:t>
            </w:r>
          </w:p>
        </w:tc>
      </w:tr>
      <w:tr w14:paraId="0E097AED">
        <w:trPr>
          <w:cantSplit/>
          <w:jc w:val="center"/>
        </w:trPr>
        <w:tc>
          <w:tcPr>
            <w:tcW w:w="1531" w:type="dxa"/>
            <w:tcMar>
              <w:top w:w="70" w:type="dxa"/>
              <w:left w:w="120" w:type="dxa"/>
              <w:bottom w:w="70" w:type="dxa"/>
              <w:right w:w="120" w:type="dxa"/>
            </w:tcMar>
            <w:vAlign w:val="center"/>
          </w:tcPr>
          <w:p w14:paraId="6B4C12E4">
            <w:pPr>
              <w:spacing w:after="0" w:line="240" w:lineRule="auto"/>
              <w:jc w:val="center"/>
            </w:pPr>
            <w:r>
              <w:rPr>
                <w:rFonts w:hint="eastAsia" w:ascii="Songti SC" w:hAnsi="Songti SC" w:eastAsia="Songti SC" w:cs="Songti SC"/>
                <w:b w:val="0"/>
                <w:color w:val="000000"/>
                <w:sz w:val="17"/>
              </w:rPr>
              <w:t>脉</w:t>
            </w:r>
          </w:p>
        </w:tc>
        <w:tc>
          <w:tcPr>
            <w:tcW w:w="3543" w:type="dxa"/>
            <w:tcMar>
              <w:top w:w="70" w:type="dxa"/>
              <w:left w:w="120" w:type="dxa"/>
              <w:bottom w:w="70" w:type="dxa"/>
              <w:right w:w="120" w:type="dxa"/>
            </w:tcMar>
            <w:vAlign w:val="center"/>
          </w:tcPr>
          <w:p w14:paraId="2D78CFC4">
            <w:pPr>
              <w:spacing w:after="0" w:line="240" w:lineRule="auto"/>
              <w:jc w:val="left"/>
            </w:pPr>
            <w:r>
              <w:rPr>
                <w:rFonts w:hint="eastAsia" w:ascii="Songti SC" w:hAnsi="Songti SC" w:eastAsia="Songti SC" w:cs="Songti SC"/>
                <w:b w:val="0"/>
                <w:color w:val="000000"/>
                <w:sz w:val="17"/>
              </w:rPr>
              <w:t>难经脉诊，脉位定病位，脉象定病性</w:t>
            </w:r>
          </w:p>
        </w:tc>
        <w:tc>
          <w:tcPr>
            <w:tcW w:w="3543" w:type="dxa"/>
            <w:tcMar>
              <w:top w:w="70" w:type="dxa"/>
              <w:left w:w="120" w:type="dxa"/>
              <w:bottom w:w="70" w:type="dxa"/>
              <w:right w:w="120" w:type="dxa"/>
            </w:tcMar>
            <w:vAlign w:val="center"/>
          </w:tcPr>
          <w:p w14:paraId="7022062C">
            <w:pPr>
              <w:spacing w:after="0" w:line="240" w:lineRule="auto"/>
              <w:jc w:val="left"/>
            </w:pPr>
            <w:r>
              <w:rPr>
                <w:rFonts w:hint="eastAsia" w:ascii="Songti SC" w:hAnsi="Songti SC" w:eastAsia="Songti SC" w:cs="Songti SC"/>
                <w:b w:val="0"/>
                <w:color w:val="000000"/>
                <w:sz w:val="17"/>
              </w:rPr>
              <w:t>复核推演与症候</w:t>
            </w:r>
          </w:p>
        </w:tc>
      </w:tr>
      <w:tr w14:paraId="0386746F">
        <w:trPr>
          <w:cantSplit/>
          <w:jc w:val="center"/>
        </w:trPr>
        <w:tc>
          <w:tcPr>
            <w:tcW w:w="1531" w:type="dxa"/>
            <w:shd w:val="clear" w:color="auto" w:fill="F3F6FA"/>
            <w:tcMar>
              <w:top w:w="70" w:type="dxa"/>
              <w:left w:w="120" w:type="dxa"/>
              <w:bottom w:w="70" w:type="dxa"/>
              <w:right w:w="120" w:type="dxa"/>
            </w:tcMar>
            <w:vAlign w:val="center"/>
          </w:tcPr>
          <w:p w14:paraId="6F3566AB">
            <w:pPr>
              <w:spacing w:after="0" w:line="240" w:lineRule="auto"/>
              <w:jc w:val="center"/>
            </w:pPr>
            <w:r>
              <w:rPr>
                <w:rFonts w:hint="eastAsia" w:ascii="Songti SC" w:hAnsi="Songti SC" w:eastAsia="Songti SC" w:cs="Songti SC"/>
                <w:b w:val="0"/>
                <w:color w:val="000000"/>
                <w:sz w:val="17"/>
              </w:rPr>
              <w:t>证</w:t>
            </w:r>
          </w:p>
        </w:tc>
        <w:tc>
          <w:tcPr>
            <w:tcW w:w="3543" w:type="dxa"/>
            <w:shd w:val="clear" w:color="auto" w:fill="F3F6FA"/>
            <w:tcMar>
              <w:top w:w="70" w:type="dxa"/>
              <w:left w:w="120" w:type="dxa"/>
              <w:bottom w:w="70" w:type="dxa"/>
              <w:right w:w="120" w:type="dxa"/>
            </w:tcMar>
            <w:vAlign w:val="center"/>
          </w:tcPr>
          <w:p w14:paraId="66C2004B">
            <w:pPr>
              <w:spacing w:after="0" w:line="240" w:lineRule="auto"/>
              <w:jc w:val="left"/>
            </w:pPr>
            <w:r>
              <w:rPr>
                <w:rFonts w:hint="eastAsia" w:ascii="Songti SC" w:hAnsi="Songti SC" w:eastAsia="Songti SC" w:cs="Songti SC"/>
                <w:b w:val="0"/>
                <w:color w:val="000000"/>
                <w:sz w:val="17"/>
              </w:rPr>
              <w:t>六经、经络营卫、脏腑虚实、五邪、方证</w:t>
            </w:r>
          </w:p>
        </w:tc>
        <w:tc>
          <w:tcPr>
            <w:tcW w:w="3543" w:type="dxa"/>
            <w:shd w:val="clear" w:color="auto" w:fill="F3F6FA"/>
            <w:tcMar>
              <w:top w:w="70" w:type="dxa"/>
              <w:left w:w="120" w:type="dxa"/>
              <w:bottom w:w="70" w:type="dxa"/>
              <w:right w:w="120" w:type="dxa"/>
            </w:tcMar>
            <w:vAlign w:val="center"/>
          </w:tcPr>
          <w:p w14:paraId="5BA48B00">
            <w:pPr>
              <w:spacing w:after="0" w:line="240" w:lineRule="auto"/>
              <w:jc w:val="left"/>
            </w:pPr>
            <w:r>
              <w:rPr>
                <w:rFonts w:hint="eastAsia" w:ascii="Songti SC" w:hAnsi="Songti SC" w:eastAsia="Songti SC" w:cs="Songti SC"/>
                <w:b w:val="0"/>
                <w:color w:val="000000"/>
                <w:sz w:val="17"/>
              </w:rPr>
              <w:t>形成病机结构</w:t>
            </w:r>
          </w:p>
        </w:tc>
      </w:tr>
      <w:tr w14:paraId="4B1D3820">
        <w:trPr>
          <w:cantSplit/>
          <w:jc w:val="center"/>
        </w:trPr>
        <w:tc>
          <w:tcPr>
            <w:tcW w:w="1531" w:type="dxa"/>
            <w:tcMar>
              <w:top w:w="70" w:type="dxa"/>
              <w:left w:w="120" w:type="dxa"/>
              <w:bottom w:w="70" w:type="dxa"/>
              <w:right w:w="120" w:type="dxa"/>
            </w:tcMar>
            <w:vAlign w:val="center"/>
          </w:tcPr>
          <w:p w14:paraId="6D5AEF01">
            <w:pPr>
              <w:spacing w:after="0" w:line="240" w:lineRule="auto"/>
              <w:jc w:val="center"/>
            </w:pPr>
            <w:r>
              <w:rPr>
                <w:rFonts w:hint="eastAsia" w:ascii="Songti SC" w:hAnsi="Songti SC" w:eastAsia="Songti SC" w:cs="Songti SC"/>
                <w:b w:val="0"/>
                <w:color w:val="000000"/>
                <w:sz w:val="17"/>
              </w:rPr>
              <w:t>方</w:t>
            </w:r>
          </w:p>
        </w:tc>
        <w:tc>
          <w:tcPr>
            <w:tcW w:w="3543" w:type="dxa"/>
            <w:tcMar>
              <w:top w:w="70" w:type="dxa"/>
              <w:left w:w="120" w:type="dxa"/>
              <w:bottom w:w="70" w:type="dxa"/>
              <w:right w:w="120" w:type="dxa"/>
            </w:tcMar>
            <w:vAlign w:val="center"/>
          </w:tcPr>
          <w:p w14:paraId="20EBB5B7">
            <w:pPr>
              <w:spacing w:after="0" w:line="240" w:lineRule="auto"/>
              <w:jc w:val="left"/>
            </w:pPr>
            <w:r>
              <w:rPr>
                <w:rFonts w:hint="eastAsia" w:ascii="Songti SC" w:hAnsi="Songti SC" w:eastAsia="Songti SC" w:cs="Songti SC"/>
                <w:b w:val="0"/>
                <w:color w:val="000000"/>
                <w:sz w:val="17"/>
              </w:rPr>
              <w:t>经方主方、备选方、加减、煎服法</w:t>
            </w:r>
          </w:p>
        </w:tc>
        <w:tc>
          <w:tcPr>
            <w:tcW w:w="3543" w:type="dxa"/>
            <w:tcMar>
              <w:top w:w="70" w:type="dxa"/>
              <w:left w:w="120" w:type="dxa"/>
              <w:bottom w:w="70" w:type="dxa"/>
              <w:right w:w="120" w:type="dxa"/>
            </w:tcMar>
            <w:vAlign w:val="center"/>
          </w:tcPr>
          <w:p w14:paraId="4F663B57">
            <w:pPr>
              <w:spacing w:after="0" w:line="240" w:lineRule="auto"/>
              <w:jc w:val="left"/>
            </w:pPr>
            <w:r>
              <w:rPr>
                <w:rFonts w:hint="eastAsia" w:ascii="Songti SC" w:hAnsi="Songti SC" w:eastAsia="Songti SC" w:cs="Songti SC"/>
                <w:b w:val="0"/>
                <w:color w:val="000000"/>
                <w:sz w:val="17"/>
              </w:rPr>
              <w:t>落实治疗方案</w:t>
            </w:r>
          </w:p>
        </w:tc>
      </w:tr>
      <w:tr w14:paraId="3CB12842">
        <w:trPr>
          <w:cantSplit/>
          <w:jc w:val="center"/>
        </w:trPr>
        <w:tc>
          <w:tcPr>
            <w:tcW w:w="1531" w:type="dxa"/>
            <w:shd w:val="clear" w:color="auto" w:fill="F3F6FA"/>
            <w:tcMar>
              <w:top w:w="70" w:type="dxa"/>
              <w:left w:w="120" w:type="dxa"/>
              <w:bottom w:w="70" w:type="dxa"/>
              <w:right w:w="120" w:type="dxa"/>
            </w:tcMar>
            <w:vAlign w:val="center"/>
          </w:tcPr>
          <w:p w14:paraId="0B980978">
            <w:pPr>
              <w:spacing w:after="0" w:line="240" w:lineRule="auto"/>
              <w:jc w:val="center"/>
            </w:pPr>
            <w:r>
              <w:rPr>
                <w:rFonts w:hint="eastAsia" w:ascii="Songti SC" w:hAnsi="Songti SC" w:eastAsia="Songti SC" w:cs="Songti SC"/>
                <w:b w:val="0"/>
                <w:color w:val="000000"/>
                <w:sz w:val="17"/>
              </w:rPr>
              <w:t>效</w:t>
            </w:r>
          </w:p>
        </w:tc>
        <w:tc>
          <w:tcPr>
            <w:tcW w:w="3543" w:type="dxa"/>
            <w:shd w:val="clear" w:color="auto" w:fill="F3F6FA"/>
            <w:tcMar>
              <w:top w:w="70" w:type="dxa"/>
              <w:left w:w="120" w:type="dxa"/>
              <w:bottom w:w="70" w:type="dxa"/>
              <w:right w:w="120" w:type="dxa"/>
            </w:tcMar>
            <w:vAlign w:val="center"/>
          </w:tcPr>
          <w:p w14:paraId="5B1623DA">
            <w:pPr>
              <w:spacing w:after="0" w:line="240" w:lineRule="auto"/>
              <w:jc w:val="left"/>
            </w:pPr>
            <w:r>
              <w:rPr>
                <w:rFonts w:hint="eastAsia" w:ascii="Songti SC" w:hAnsi="Songti SC" w:eastAsia="Songti SC" w:cs="Songti SC"/>
                <w:b w:val="0"/>
                <w:color w:val="000000"/>
                <w:sz w:val="17"/>
              </w:rPr>
              <w:t>复诊反馈、症状评分、脉象外候变化</w:t>
            </w:r>
          </w:p>
        </w:tc>
        <w:tc>
          <w:tcPr>
            <w:tcW w:w="3543" w:type="dxa"/>
            <w:shd w:val="clear" w:color="auto" w:fill="F3F6FA"/>
            <w:tcMar>
              <w:top w:w="70" w:type="dxa"/>
              <w:left w:w="120" w:type="dxa"/>
              <w:bottom w:w="70" w:type="dxa"/>
              <w:right w:w="120" w:type="dxa"/>
            </w:tcMar>
            <w:vAlign w:val="center"/>
          </w:tcPr>
          <w:p w14:paraId="6F11E70E">
            <w:pPr>
              <w:spacing w:after="0" w:line="240" w:lineRule="auto"/>
              <w:jc w:val="left"/>
            </w:pPr>
            <w:r>
              <w:rPr>
                <w:rFonts w:hint="eastAsia" w:ascii="Songti SC" w:hAnsi="Songti SC" w:eastAsia="Songti SC" w:cs="Songti SC"/>
                <w:b w:val="0"/>
                <w:color w:val="000000"/>
                <w:sz w:val="17"/>
              </w:rPr>
              <w:t>验证方证是否相应</w:t>
            </w:r>
          </w:p>
        </w:tc>
      </w:tr>
    </w:tbl>
    <w:p w14:paraId="66A9DB4B">
      <w:pPr>
        <w:spacing w:after="0"/>
      </w:pPr>
    </w:p>
    <w:p w14:paraId="69F5FD8A">
      <w:pPr>
        <w:pStyle w:val="4"/>
      </w:pPr>
      <w:r>
        <w:rPr>
          <w:rFonts w:hint="eastAsia" w:ascii="Hiragino Sans GB" w:hAnsi="Hiragino Sans GB" w:eastAsia="Hiragino Sans GB" w:cs="Hiragino Sans GB"/>
        </w:rPr>
        <w:t>2 与一般经方流派的区别</w:t>
      </w:r>
    </w:p>
    <w:p w14:paraId="2CD3F033">
      <w:pPr>
        <w:ind w:firstLine="420"/>
      </w:pPr>
      <w:r>
        <w:rPr>
          <w:rFonts w:hint="eastAsia" w:ascii="Songti SC" w:hAnsi="Songti SC" w:eastAsia="Songti SC" w:cs="Songti SC"/>
          <w:sz w:val="21"/>
        </w:rPr>
        <w:t>本法在方证对应和六经辨证的基础上，将经典诊法、运气推演、类证鉴别、方症评分与复诊评价纳入同一操作流程。各模块相互校验，并由医师完成最终合参。</w:t>
      </w:r>
    </w:p>
    <w:p w14:paraId="2D6A7B8D">
      <w:pPr>
        <w:ind w:firstLine="420"/>
      </w:pPr>
      <w:r>
        <w:rPr>
          <w:rFonts w:hint="eastAsia" w:ascii="Songti SC" w:hAnsi="Songti SC" w:eastAsia="Songti SC" w:cs="Songti SC"/>
          <w:sz w:val="21"/>
        </w:rPr>
        <w:t>主要区别包括：</w:t>
      </w:r>
    </w:p>
    <w:p w14:paraId="4A5AE44B">
      <w:pPr>
        <w:spacing w:after="60"/>
        <w:ind w:left="425" w:hanging="312"/>
      </w:pPr>
      <w:r>
        <w:rPr>
          <w:rFonts w:hint="eastAsia" w:ascii="Songti SC" w:hAnsi="Songti SC" w:eastAsia="Songti SC" w:cs="Songti SC"/>
          <w:sz w:val="21"/>
        </w:rPr>
        <w:t>•  以出生年地支、性别、发病日干支建立时空推演入口。</w:t>
      </w:r>
    </w:p>
    <w:p w14:paraId="5513E402">
      <w:pPr>
        <w:spacing w:after="60"/>
        <w:ind w:left="425" w:hanging="312"/>
      </w:pPr>
      <w:r>
        <w:rPr>
          <w:rFonts w:hint="eastAsia" w:ascii="Songti SC" w:hAnsi="Songti SC" w:eastAsia="Songti SC" w:cs="Songti SC"/>
          <w:sz w:val="21"/>
        </w:rPr>
        <w:t>•  以六气经络营卫和五运脏腑虚实形成两条推演通道。</w:t>
      </w:r>
    </w:p>
    <w:p w14:paraId="4BCD8A79">
      <w:pPr>
        <w:spacing w:after="60"/>
        <w:ind w:left="425" w:hanging="312"/>
      </w:pPr>
      <w:r>
        <w:rPr>
          <w:rFonts w:hint="eastAsia" w:ascii="Songti SC" w:hAnsi="Songti SC" w:eastAsia="Songti SC" w:cs="Songti SC"/>
          <w:sz w:val="21"/>
        </w:rPr>
        <w:t>•  以难经五诊和难经脉诊校验推演结果。</w:t>
      </w:r>
    </w:p>
    <w:p w14:paraId="4BC7B271">
      <w:pPr>
        <w:spacing w:after="60"/>
        <w:ind w:left="425" w:hanging="312"/>
      </w:pPr>
      <w:r>
        <w:rPr>
          <w:rFonts w:hint="eastAsia" w:ascii="Songti SC" w:hAnsi="Songti SC" w:eastAsia="Songti SC" w:cs="Songti SC"/>
          <w:sz w:val="21"/>
        </w:rPr>
        <w:t>•  以伤寒类证树从主诉和梯队兼证中寻找候选方。</w:t>
      </w:r>
    </w:p>
    <w:p w14:paraId="788D460E">
      <w:pPr>
        <w:spacing w:after="60"/>
        <w:ind w:left="425" w:hanging="312"/>
      </w:pPr>
      <w:r>
        <w:rPr>
          <w:rFonts w:hint="eastAsia" w:ascii="Songti SC" w:hAnsi="Songti SC" w:eastAsia="Songti SC" w:cs="Songti SC"/>
          <w:sz w:val="21"/>
        </w:rPr>
        <w:t>•  以</w:t>
      </w:r>
      <w:r>
        <w:rPr>
          <w:rFonts w:hint="eastAsia" w:cs="Songti SC"/>
          <w:sz w:val="21"/>
          <w:lang w:val="en-US" w:eastAsia="zh-CN"/>
        </w:rPr>
        <w:t>通用人工智能</w:t>
      </w:r>
      <w:r>
        <w:rPr>
          <w:rFonts w:hint="eastAsia" w:ascii="Songti SC" w:hAnsi="Songti SC" w:eastAsia="Songti SC" w:cs="Songti SC"/>
          <w:sz w:val="21"/>
        </w:rPr>
        <w:t>汇总合参模块（本项目内部名称）整合多路径信息，不以单一路径直接定方。</w:t>
      </w:r>
    </w:p>
    <w:p w14:paraId="26A00696">
      <w:pPr>
        <w:spacing w:after="60"/>
        <w:ind w:left="425" w:hanging="312"/>
      </w:pPr>
      <w:r>
        <w:rPr>
          <w:rFonts w:hint="eastAsia" w:ascii="Songti SC" w:hAnsi="Songti SC" w:eastAsia="Songti SC" w:cs="Songti SC"/>
          <w:sz w:val="21"/>
        </w:rPr>
        <w:t>•  以标准病案库和复诊疗效评价建设真实世界证据。</w:t>
      </w:r>
    </w:p>
    <w:p w14:paraId="045D58A1">
      <w:pPr>
        <w:pStyle w:val="3"/>
      </w:pPr>
      <w:r>
        <w:rPr>
          <w:rFonts w:hint="eastAsia" w:ascii="Hiragino Sans GB" w:hAnsi="Hiragino Sans GB" w:eastAsia="Hiragino Sans GB" w:cs="Hiragino Sans GB"/>
        </w:rPr>
        <w:t>四 学术体系 从经典源流到现代标准</w:t>
      </w:r>
    </w:p>
    <w:p w14:paraId="4F74E805">
      <w:pPr>
        <w:pStyle w:val="4"/>
      </w:pPr>
      <w:r>
        <w:rPr>
          <w:rFonts w:hint="eastAsia" w:ascii="Hiragino Sans GB" w:hAnsi="Hiragino Sans GB" w:eastAsia="Hiragino Sans GB" w:cs="Hiragino Sans GB"/>
        </w:rPr>
        <w:t>1 经典源流</w:t>
      </w:r>
    </w:p>
    <w:p w14:paraId="2E61BC0E">
      <w:pPr>
        <w:ind w:firstLine="420"/>
      </w:pPr>
      <w:r>
        <w:rPr>
          <w:rFonts w:hint="eastAsia" w:ascii="Songti SC" w:hAnsi="Songti SC" w:eastAsia="Songti SC" w:cs="Songti SC"/>
          <w:sz w:val="21"/>
        </w:rPr>
        <w:t>泰山经方标准化诊疗法以《黄帝内经》天人相应、五运六气、藏象经络为理论根基；以《难经》五诊和脉诊为诊察路径；以《伤寒杂病论》经方方证为治疗落点；以《普济方》伤寒门所保存的伤寒钤法、年日钤法和干支取方思想为推演依据；并吸收当代泰山经方传承实践中的病案、表格、软件和课程资料。</w:t>
      </w:r>
    </w:p>
    <w:p w14:paraId="59CA4872">
      <w:pPr>
        <w:ind w:firstLine="420"/>
      </w:pPr>
      <w:r>
        <w:rPr>
          <w:rFonts w:hint="eastAsia" w:ascii="Songti SC" w:hAnsi="Songti SC" w:eastAsia="Songti SC" w:cs="Songti SC"/>
          <w:sz w:val="21"/>
        </w:rPr>
        <w:t>据此，本法由经典依据、诊察方法、推演规则、方证体系、标准病案和辅助软件等部分共同构成。</w:t>
      </w:r>
    </w:p>
    <w:p w14:paraId="5E549E05">
      <w:pPr>
        <w:pStyle w:val="4"/>
      </w:pPr>
      <w:r>
        <w:rPr>
          <w:rFonts w:hint="eastAsia" w:ascii="Hiragino Sans GB" w:hAnsi="Hiragino Sans GB" w:eastAsia="Hiragino Sans GB" w:cs="Hiragino Sans GB"/>
        </w:rPr>
        <w:t>2 诊疗方法论</w:t>
      </w:r>
    </w:p>
    <w:p w14:paraId="18A9B31C">
      <w:pPr>
        <w:ind w:firstLine="420"/>
      </w:pPr>
      <w:r>
        <w:rPr>
          <w:rFonts w:hint="eastAsia" w:ascii="Songti SC" w:hAnsi="Songti SC" w:eastAsia="Songti SC" w:cs="Songti SC"/>
          <w:sz w:val="21"/>
        </w:rPr>
        <w:t>本法临床方法论可概括为：</w:t>
      </w:r>
    </w:p>
    <w:p w14:paraId="5734C7D0">
      <w:pPr>
        <w:spacing w:after="60"/>
        <w:ind w:left="510" w:hanging="397"/>
      </w:pPr>
      <w:r>
        <w:rPr>
          <w:rFonts w:hint="eastAsia" w:ascii="Songti SC" w:hAnsi="Songti SC" w:eastAsia="Songti SC" w:cs="Songti SC"/>
          <w:sz w:val="21"/>
        </w:rPr>
        <w:t>1. 先问其病：主诉、现病史、既往史、个人史。</w:t>
      </w:r>
    </w:p>
    <w:p w14:paraId="50359282">
      <w:pPr>
        <w:spacing w:after="60"/>
        <w:ind w:left="510" w:hanging="397"/>
      </w:pPr>
      <w:r>
        <w:rPr>
          <w:rFonts w:hint="eastAsia" w:ascii="Songti SC" w:hAnsi="Songti SC" w:eastAsia="Songti SC" w:cs="Songti SC"/>
          <w:sz w:val="21"/>
        </w:rPr>
        <w:t>2. 再察其象：五色、五嗅、五味、五声、五液。</w:t>
      </w:r>
    </w:p>
    <w:p w14:paraId="29D27FD2">
      <w:pPr>
        <w:spacing w:after="60"/>
        <w:ind w:left="510" w:hanging="397"/>
      </w:pPr>
      <w:r>
        <w:rPr>
          <w:rFonts w:hint="eastAsia" w:ascii="Songti SC" w:hAnsi="Songti SC" w:eastAsia="Songti SC" w:cs="Songti SC"/>
          <w:sz w:val="21"/>
        </w:rPr>
        <w:t>3. 再按其脉：脉位定病位，脉象定病性。</w:t>
      </w:r>
    </w:p>
    <w:p w14:paraId="530DA5A9">
      <w:pPr>
        <w:spacing w:after="60"/>
        <w:ind w:left="510" w:hanging="397"/>
      </w:pPr>
      <w:r>
        <w:rPr>
          <w:rFonts w:hint="eastAsia" w:ascii="Songti SC" w:hAnsi="Songti SC" w:eastAsia="Songti SC" w:cs="Songti SC"/>
          <w:sz w:val="21"/>
        </w:rPr>
        <w:t>4. 再推其时：出生气禀、发病时日、节气气候。</w:t>
      </w:r>
    </w:p>
    <w:p w14:paraId="29FB2687">
      <w:pPr>
        <w:spacing w:after="60"/>
        <w:ind w:left="510" w:hanging="397"/>
      </w:pPr>
      <w:r>
        <w:rPr>
          <w:rFonts w:hint="eastAsia" w:ascii="Songti SC" w:hAnsi="Songti SC" w:eastAsia="Songti SC" w:cs="Songti SC"/>
          <w:sz w:val="21"/>
        </w:rPr>
        <w:t>5. 再辨其证：六经、脏腑、经络营卫、方证。</w:t>
      </w:r>
    </w:p>
    <w:p w14:paraId="1B116F64">
      <w:pPr>
        <w:spacing w:after="60"/>
        <w:ind w:left="510" w:hanging="397"/>
      </w:pPr>
      <w:r>
        <w:rPr>
          <w:rFonts w:hint="eastAsia" w:ascii="Songti SC" w:hAnsi="Songti SC" w:eastAsia="Songti SC" w:cs="Songti SC"/>
          <w:sz w:val="21"/>
        </w:rPr>
        <w:t>6. 再处其方：主方、备选、加减、禁忌。</w:t>
      </w:r>
    </w:p>
    <w:p w14:paraId="1422B304">
      <w:pPr>
        <w:spacing w:after="60"/>
        <w:ind w:left="510" w:hanging="397"/>
      </w:pPr>
      <w:r>
        <w:rPr>
          <w:rFonts w:hint="eastAsia" w:ascii="Songti SC" w:hAnsi="Songti SC" w:eastAsia="Songti SC" w:cs="Songti SC"/>
          <w:sz w:val="21"/>
        </w:rPr>
        <w:t>7. 再验其效：复诊、评分、失败分析、入库复盘。</w:t>
      </w:r>
    </w:p>
    <w:p w14:paraId="00D881B2">
      <w:pPr>
        <w:pStyle w:val="4"/>
      </w:pPr>
      <w:r>
        <w:rPr>
          <w:rFonts w:hint="eastAsia" w:ascii="Hiragino Sans GB" w:hAnsi="Hiragino Sans GB" w:eastAsia="Hiragino Sans GB" w:cs="Hiragino Sans GB"/>
        </w:rPr>
        <w:t>3 标准化不是僵化</w:t>
      </w:r>
    </w:p>
    <w:p w14:paraId="2D8F4D2E">
      <w:pPr>
        <w:ind w:firstLine="420"/>
      </w:pPr>
      <w:r>
        <w:rPr>
          <w:rFonts w:hint="eastAsia" w:ascii="Songti SC" w:hAnsi="Songti SC" w:eastAsia="Songti SC" w:cs="Songti SC"/>
          <w:sz w:val="21"/>
        </w:rPr>
        <w:t>标准化用于减少经验失传、病案散乱、判断过程难以复核等问题，并支持临床风险管理。标准体系应在保留医师临床判断的同时，满足教学、机构管理、科研分析和患者安全的需要。</w:t>
      </w:r>
    </w:p>
    <w:p w14:paraId="098F32EB">
      <w:pPr>
        <w:pStyle w:val="3"/>
      </w:pPr>
      <w:r>
        <w:rPr>
          <w:rFonts w:hint="eastAsia" w:ascii="Hiragino Sans GB" w:hAnsi="Hiragino Sans GB" w:eastAsia="Hiragino Sans GB" w:cs="Hiragino Sans GB"/>
        </w:rPr>
        <w:t>五 临床体系 一套可执行的标准化诊疗流程</w:t>
      </w:r>
    </w:p>
    <w:p w14:paraId="19B67EAA">
      <w:pPr>
        <w:ind w:firstLine="420"/>
      </w:pPr>
      <w:r>
        <w:rPr>
          <w:rFonts w:hint="eastAsia" w:ascii="Songti SC" w:hAnsi="Songti SC" w:eastAsia="Songti SC" w:cs="Songti SC"/>
          <w:sz w:val="21"/>
        </w:rPr>
        <w:t>泰山经方标准化诊疗法临床流程分为十二步：</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043"/>
        <w:gridCol w:w="3043"/>
        <w:gridCol w:w="3043"/>
      </w:tblGrid>
      <w:tr w14:paraId="7DDC9D06">
        <w:trPr>
          <w:cantSplit/>
          <w:tblHeader/>
          <w:jc w:val="center"/>
        </w:trPr>
        <w:tc>
          <w:tcPr>
            <w:tcW w:w="907" w:type="dxa"/>
            <w:shd w:val="clear" w:color="auto" w:fill="404040"/>
            <w:tcMar>
              <w:top w:w="120" w:type="dxa"/>
              <w:left w:w="140" w:type="dxa"/>
              <w:bottom w:w="120" w:type="dxa"/>
              <w:right w:w="140" w:type="dxa"/>
            </w:tcMar>
            <w:vAlign w:val="center"/>
          </w:tcPr>
          <w:p w14:paraId="3A356F00">
            <w:pPr>
              <w:spacing w:after="0" w:line="276" w:lineRule="auto"/>
              <w:jc w:val="center"/>
            </w:pPr>
            <w:r>
              <w:rPr>
                <w:rFonts w:hint="eastAsia" w:ascii="Hiragino Sans GB" w:hAnsi="Hiragino Sans GB" w:eastAsia="Hiragino Sans GB" w:cs="Hiragino Sans GB"/>
                <w:b/>
                <w:color w:val="FFFFFF"/>
                <w:sz w:val="18"/>
              </w:rPr>
              <w:t>步骤</w:t>
            </w:r>
          </w:p>
        </w:tc>
        <w:tc>
          <w:tcPr>
            <w:tcW w:w="3969" w:type="dxa"/>
            <w:shd w:val="clear" w:color="auto" w:fill="404040"/>
            <w:tcMar>
              <w:top w:w="120" w:type="dxa"/>
              <w:left w:w="140" w:type="dxa"/>
              <w:bottom w:w="120" w:type="dxa"/>
              <w:right w:w="140" w:type="dxa"/>
            </w:tcMar>
            <w:vAlign w:val="center"/>
          </w:tcPr>
          <w:p w14:paraId="46E62362">
            <w:pPr>
              <w:spacing w:after="0" w:line="276" w:lineRule="auto"/>
              <w:jc w:val="center"/>
            </w:pPr>
            <w:r>
              <w:rPr>
                <w:rFonts w:hint="eastAsia" w:ascii="Hiragino Sans GB" w:hAnsi="Hiragino Sans GB" w:eastAsia="Hiragino Sans GB" w:cs="Hiragino Sans GB"/>
                <w:b/>
                <w:color w:val="FFFFFF"/>
                <w:sz w:val="18"/>
              </w:rPr>
              <w:t>内容</w:t>
            </w:r>
          </w:p>
        </w:tc>
        <w:tc>
          <w:tcPr>
            <w:tcW w:w="3742" w:type="dxa"/>
            <w:shd w:val="clear" w:color="auto" w:fill="404040"/>
            <w:tcMar>
              <w:top w:w="120" w:type="dxa"/>
              <w:left w:w="140" w:type="dxa"/>
              <w:bottom w:w="120" w:type="dxa"/>
              <w:right w:w="140" w:type="dxa"/>
            </w:tcMar>
            <w:vAlign w:val="center"/>
          </w:tcPr>
          <w:p w14:paraId="51FFFE25">
            <w:pPr>
              <w:spacing w:after="0" w:line="276" w:lineRule="auto"/>
              <w:jc w:val="center"/>
            </w:pPr>
            <w:r>
              <w:rPr>
                <w:rFonts w:hint="eastAsia" w:ascii="Hiragino Sans GB" w:hAnsi="Hiragino Sans GB" w:eastAsia="Hiragino Sans GB" w:cs="Hiragino Sans GB"/>
                <w:b/>
                <w:color w:val="FFFFFF"/>
                <w:sz w:val="18"/>
              </w:rPr>
              <w:t>输出</w:t>
            </w:r>
          </w:p>
        </w:tc>
      </w:tr>
      <w:tr w14:paraId="124893B3">
        <w:trPr>
          <w:cantSplit/>
          <w:jc w:val="center"/>
        </w:trPr>
        <w:tc>
          <w:tcPr>
            <w:tcW w:w="907" w:type="dxa"/>
            <w:tcMar>
              <w:top w:w="120" w:type="dxa"/>
              <w:left w:w="140" w:type="dxa"/>
              <w:bottom w:w="120" w:type="dxa"/>
              <w:right w:w="140" w:type="dxa"/>
            </w:tcMar>
            <w:vAlign w:val="center"/>
          </w:tcPr>
          <w:p w14:paraId="5EFDBBFC">
            <w:pPr>
              <w:spacing w:after="0" w:line="276" w:lineRule="auto"/>
              <w:jc w:val="center"/>
            </w:pPr>
            <w:r>
              <w:rPr>
                <w:rFonts w:hint="eastAsia" w:ascii="Songti SC" w:hAnsi="Songti SC" w:eastAsia="Songti SC" w:cs="Songti SC"/>
                <w:b w:val="0"/>
                <w:color w:val="000000"/>
                <w:sz w:val="18"/>
              </w:rPr>
              <w:t>1</w:t>
            </w:r>
          </w:p>
        </w:tc>
        <w:tc>
          <w:tcPr>
            <w:tcW w:w="3969" w:type="dxa"/>
            <w:tcMar>
              <w:top w:w="120" w:type="dxa"/>
              <w:left w:w="140" w:type="dxa"/>
              <w:bottom w:w="120" w:type="dxa"/>
              <w:right w:w="140" w:type="dxa"/>
            </w:tcMar>
            <w:vAlign w:val="center"/>
          </w:tcPr>
          <w:p w14:paraId="0CD1CD4E">
            <w:pPr>
              <w:spacing w:after="0" w:line="276" w:lineRule="auto"/>
              <w:jc w:val="left"/>
            </w:pPr>
            <w:r>
              <w:rPr>
                <w:rFonts w:hint="eastAsia" w:ascii="Songti SC" w:hAnsi="Songti SC" w:eastAsia="Songti SC" w:cs="Songti SC"/>
                <w:b w:val="0"/>
                <w:color w:val="000000"/>
                <w:sz w:val="18"/>
              </w:rPr>
              <w:t>接诊与风险筛查</w:t>
            </w:r>
          </w:p>
        </w:tc>
        <w:tc>
          <w:tcPr>
            <w:tcW w:w="3742" w:type="dxa"/>
            <w:tcMar>
              <w:top w:w="120" w:type="dxa"/>
              <w:left w:w="140" w:type="dxa"/>
              <w:bottom w:w="120" w:type="dxa"/>
              <w:right w:w="140" w:type="dxa"/>
            </w:tcMar>
            <w:vAlign w:val="center"/>
          </w:tcPr>
          <w:p w14:paraId="66E41D9C">
            <w:pPr>
              <w:spacing w:after="0" w:line="276" w:lineRule="auto"/>
              <w:jc w:val="left"/>
            </w:pPr>
            <w:r>
              <w:rPr>
                <w:rFonts w:hint="eastAsia" w:ascii="Songti SC" w:hAnsi="Songti SC" w:eastAsia="Songti SC" w:cs="Songti SC"/>
                <w:b w:val="0"/>
                <w:color w:val="000000"/>
                <w:sz w:val="18"/>
              </w:rPr>
              <w:t>是否可进入本法流程</w:t>
            </w:r>
          </w:p>
        </w:tc>
      </w:tr>
      <w:tr w14:paraId="51CF76F3">
        <w:trPr>
          <w:cantSplit/>
          <w:jc w:val="center"/>
        </w:trPr>
        <w:tc>
          <w:tcPr>
            <w:tcW w:w="907" w:type="dxa"/>
            <w:shd w:val="clear" w:color="auto" w:fill="F3F6FA"/>
            <w:tcMar>
              <w:top w:w="120" w:type="dxa"/>
              <w:left w:w="140" w:type="dxa"/>
              <w:bottom w:w="120" w:type="dxa"/>
              <w:right w:w="140" w:type="dxa"/>
            </w:tcMar>
            <w:vAlign w:val="center"/>
          </w:tcPr>
          <w:p w14:paraId="31A0763C">
            <w:pPr>
              <w:spacing w:after="0" w:line="276" w:lineRule="auto"/>
              <w:jc w:val="center"/>
            </w:pPr>
            <w:r>
              <w:rPr>
                <w:rFonts w:hint="eastAsia" w:ascii="Songti SC" w:hAnsi="Songti SC" w:eastAsia="Songti SC" w:cs="Songti SC"/>
                <w:b w:val="0"/>
                <w:color w:val="000000"/>
                <w:sz w:val="18"/>
              </w:rPr>
              <w:t>2</w:t>
            </w:r>
          </w:p>
        </w:tc>
        <w:tc>
          <w:tcPr>
            <w:tcW w:w="3969" w:type="dxa"/>
            <w:shd w:val="clear" w:color="auto" w:fill="F3F6FA"/>
            <w:tcMar>
              <w:top w:w="120" w:type="dxa"/>
              <w:left w:w="140" w:type="dxa"/>
              <w:bottom w:w="120" w:type="dxa"/>
              <w:right w:w="140" w:type="dxa"/>
            </w:tcMar>
            <w:vAlign w:val="center"/>
          </w:tcPr>
          <w:p w14:paraId="5A3DD78C">
            <w:pPr>
              <w:spacing w:after="0" w:line="276" w:lineRule="auto"/>
              <w:jc w:val="left"/>
            </w:pPr>
            <w:r>
              <w:rPr>
                <w:rFonts w:hint="eastAsia" w:ascii="Songti SC" w:hAnsi="Songti SC" w:eastAsia="Songti SC" w:cs="Songti SC"/>
                <w:b w:val="0"/>
                <w:color w:val="000000"/>
                <w:sz w:val="18"/>
              </w:rPr>
              <w:t>主诉、现病史、既往史、个人史采集</w:t>
            </w:r>
          </w:p>
        </w:tc>
        <w:tc>
          <w:tcPr>
            <w:tcW w:w="3742" w:type="dxa"/>
            <w:shd w:val="clear" w:color="auto" w:fill="F3F6FA"/>
            <w:tcMar>
              <w:top w:w="120" w:type="dxa"/>
              <w:left w:w="140" w:type="dxa"/>
              <w:bottom w:w="120" w:type="dxa"/>
              <w:right w:w="140" w:type="dxa"/>
            </w:tcMar>
            <w:vAlign w:val="center"/>
          </w:tcPr>
          <w:p w14:paraId="04554313">
            <w:pPr>
              <w:spacing w:after="0" w:line="276" w:lineRule="auto"/>
              <w:jc w:val="left"/>
            </w:pPr>
            <w:r>
              <w:rPr>
                <w:rFonts w:hint="eastAsia" w:ascii="Songti SC" w:hAnsi="Songti SC" w:eastAsia="Songti SC" w:cs="Songti SC"/>
                <w:b w:val="0"/>
                <w:color w:val="000000"/>
                <w:sz w:val="18"/>
              </w:rPr>
              <w:t>病史时间线</w:t>
            </w:r>
          </w:p>
        </w:tc>
      </w:tr>
      <w:tr w14:paraId="0842D396">
        <w:trPr>
          <w:cantSplit/>
          <w:jc w:val="center"/>
        </w:trPr>
        <w:tc>
          <w:tcPr>
            <w:tcW w:w="907" w:type="dxa"/>
            <w:tcMar>
              <w:top w:w="120" w:type="dxa"/>
              <w:left w:w="140" w:type="dxa"/>
              <w:bottom w:w="120" w:type="dxa"/>
              <w:right w:w="140" w:type="dxa"/>
            </w:tcMar>
            <w:vAlign w:val="center"/>
          </w:tcPr>
          <w:p w14:paraId="28A1DF04">
            <w:pPr>
              <w:spacing w:after="0" w:line="276" w:lineRule="auto"/>
              <w:jc w:val="center"/>
            </w:pPr>
            <w:r>
              <w:rPr>
                <w:rFonts w:hint="eastAsia" w:ascii="Songti SC" w:hAnsi="Songti SC" w:eastAsia="Songti SC" w:cs="Songti SC"/>
                <w:b w:val="0"/>
                <w:color w:val="000000"/>
                <w:sz w:val="18"/>
              </w:rPr>
              <w:t>3</w:t>
            </w:r>
          </w:p>
        </w:tc>
        <w:tc>
          <w:tcPr>
            <w:tcW w:w="3969" w:type="dxa"/>
            <w:tcMar>
              <w:top w:w="120" w:type="dxa"/>
              <w:left w:w="140" w:type="dxa"/>
              <w:bottom w:w="120" w:type="dxa"/>
              <w:right w:w="140" w:type="dxa"/>
            </w:tcMar>
            <w:vAlign w:val="center"/>
          </w:tcPr>
          <w:p w14:paraId="5E06D7BF">
            <w:pPr>
              <w:spacing w:after="0" w:line="276" w:lineRule="auto"/>
              <w:jc w:val="left"/>
            </w:pPr>
            <w:r>
              <w:rPr>
                <w:rFonts w:hint="eastAsia" w:ascii="Songti SC" w:hAnsi="Songti SC" w:eastAsia="Songti SC" w:cs="Songti SC"/>
                <w:b w:val="0"/>
                <w:color w:val="000000"/>
                <w:sz w:val="18"/>
              </w:rPr>
              <w:t>发病与时空要素采集</w:t>
            </w:r>
          </w:p>
        </w:tc>
        <w:tc>
          <w:tcPr>
            <w:tcW w:w="3742" w:type="dxa"/>
            <w:tcMar>
              <w:top w:w="120" w:type="dxa"/>
              <w:left w:w="140" w:type="dxa"/>
              <w:bottom w:w="120" w:type="dxa"/>
              <w:right w:w="140" w:type="dxa"/>
            </w:tcMar>
            <w:vAlign w:val="center"/>
          </w:tcPr>
          <w:p w14:paraId="15C09CCB">
            <w:pPr>
              <w:spacing w:after="0" w:line="276" w:lineRule="auto"/>
              <w:jc w:val="left"/>
            </w:pPr>
            <w:r>
              <w:rPr>
                <w:rFonts w:hint="eastAsia" w:ascii="Songti SC" w:hAnsi="Songti SC" w:eastAsia="Songti SC" w:cs="Songti SC"/>
                <w:b w:val="0"/>
                <w:color w:val="000000"/>
                <w:sz w:val="18"/>
              </w:rPr>
              <w:t>出生年地支、属相、发病日干支等</w:t>
            </w:r>
          </w:p>
        </w:tc>
      </w:tr>
      <w:tr w14:paraId="2F9FFD3B">
        <w:trPr>
          <w:cantSplit/>
          <w:jc w:val="center"/>
        </w:trPr>
        <w:tc>
          <w:tcPr>
            <w:tcW w:w="907" w:type="dxa"/>
            <w:shd w:val="clear" w:color="auto" w:fill="F3F6FA"/>
            <w:tcMar>
              <w:top w:w="120" w:type="dxa"/>
              <w:left w:w="140" w:type="dxa"/>
              <w:bottom w:w="120" w:type="dxa"/>
              <w:right w:w="140" w:type="dxa"/>
            </w:tcMar>
            <w:vAlign w:val="center"/>
          </w:tcPr>
          <w:p w14:paraId="1034E39D">
            <w:pPr>
              <w:spacing w:after="0" w:line="276" w:lineRule="auto"/>
              <w:jc w:val="center"/>
            </w:pPr>
            <w:r>
              <w:rPr>
                <w:rFonts w:hint="eastAsia" w:ascii="Songti SC" w:hAnsi="Songti SC" w:eastAsia="Songti SC" w:cs="Songti SC"/>
                <w:b w:val="0"/>
                <w:color w:val="000000"/>
                <w:sz w:val="18"/>
              </w:rPr>
              <w:t>4</w:t>
            </w:r>
          </w:p>
        </w:tc>
        <w:tc>
          <w:tcPr>
            <w:tcW w:w="3969" w:type="dxa"/>
            <w:shd w:val="clear" w:color="auto" w:fill="F3F6FA"/>
            <w:tcMar>
              <w:top w:w="120" w:type="dxa"/>
              <w:left w:w="140" w:type="dxa"/>
              <w:bottom w:w="120" w:type="dxa"/>
              <w:right w:w="140" w:type="dxa"/>
            </w:tcMar>
            <w:vAlign w:val="center"/>
          </w:tcPr>
          <w:p w14:paraId="72C4538B">
            <w:pPr>
              <w:spacing w:after="0" w:line="276" w:lineRule="auto"/>
              <w:jc w:val="left"/>
            </w:pPr>
            <w:r>
              <w:rPr>
                <w:rFonts w:hint="eastAsia" w:ascii="Songti SC" w:hAnsi="Songti SC" w:eastAsia="Songti SC" w:cs="Songti SC"/>
                <w:b w:val="0"/>
                <w:color w:val="000000"/>
                <w:sz w:val="18"/>
              </w:rPr>
              <w:t>六气经络营卫推演</w:t>
            </w:r>
          </w:p>
        </w:tc>
        <w:tc>
          <w:tcPr>
            <w:tcW w:w="3742" w:type="dxa"/>
            <w:shd w:val="clear" w:color="auto" w:fill="F3F6FA"/>
            <w:tcMar>
              <w:top w:w="120" w:type="dxa"/>
              <w:left w:w="140" w:type="dxa"/>
              <w:bottom w:w="120" w:type="dxa"/>
              <w:right w:w="140" w:type="dxa"/>
            </w:tcMar>
            <w:vAlign w:val="center"/>
          </w:tcPr>
          <w:p w14:paraId="281C482C">
            <w:pPr>
              <w:spacing w:after="0" w:line="276" w:lineRule="auto"/>
              <w:jc w:val="left"/>
            </w:pPr>
            <w:r>
              <w:rPr>
                <w:rFonts w:hint="eastAsia" w:ascii="Songti SC" w:hAnsi="Songti SC" w:eastAsia="Songti SC" w:cs="Songti SC"/>
                <w:b w:val="0"/>
                <w:color w:val="000000"/>
                <w:sz w:val="18"/>
              </w:rPr>
              <w:t>求病、求字号、求证、查方结果</w:t>
            </w:r>
          </w:p>
        </w:tc>
      </w:tr>
      <w:tr w14:paraId="1E7CAC32">
        <w:trPr>
          <w:cantSplit/>
          <w:jc w:val="center"/>
        </w:trPr>
        <w:tc>
          <w:tcPr>
            <w:tcW w:w="907" w:type="dxa"/>
            <w:tcMar>
              <w:top w:w="120" w:type="dxa"/>
              <w:left w:w="140" w:type="dxa"/>
              <w:bottom w:w="120" w:type="dxa"/>
              <w:right w:w="140" w:type="dxa"/>
            </w:tcMar>
            <w:vAlign w:val="center"/>
          </w:tcPr>
          <w:p w14:paraId="7B2E8270">
            <w:pPr>
              <w:spacing w:after="0" w:line="276" w:lineRule="auto"/>
              <w:jc w:val="center"/>
            </w:pPr>
            <w:r>
              <w:rPr>
                <w:rFonts w:hint="eastAsia" w:ascii="Songti SC" w:hAnsi="Songti SC" w:eastAsia="Songti SC" w:cs="Songti SC"/>
                <w:b w:val="0"/>
                <w:color w:val="000000"/>
                <w:sz w:val="18"/>
              </w:rPr>
              <w:t>5</w:t>
            </w:r>
          </w:p>
        </w:tc>
        <w:tc>
          <w:tcPr>
            <w:tcW w:w="3969" w:type="dxa"/>
            <w:tcMar>
              <w:top w:w="120" w:type="dxa"/>
              <w:left w:w="140" w:type="dxa"/>
              <w:bottom w:w="120" w:type="dxa"/>
              <w:right w:w="140" w:type="dxa"/>
            </w:tcMar>
            <w:vAlign w:val="center"/>
          </w:tcPr>
          <w:p w14:paraId="375C6C17">
            <w:pPr>
              <w:spacing w:after="0" w:line="276" w:lineRule="auto"/>
              <w:jc w:val="left"/>
            </w:pPr>
            <w:r>
              <w:rPr>
                <w:rFonts w:hint="eastAsia" w:ascii="Songti SC" w:hAnsi="Songti SC" w:eastAsia="Songti SC" w:cs="Songti SC"/>
                <w:b w:val="0"/>
                <w:color w:val="000000"/>
                <w:sz w:val="18"/>
              </w:rPr>
              <w:t>五运脏腑虚实推演</w:t>
            </w:r>
          </w:p>
        </w:tc>
        <w:tc>
          <w:tcPr>
            <w:tcW w:w="3742" w:type="dxa"/>
            <w:tcMar>
              <w:top w:w="120" w:type="dxa"/>
              <w:left w:w="140" w:type="dxa"/>
              <w:bottom w:w="120" w:type="dxa"/>
              <w:right w:w="140" w:type="dxa"/>
            </w:tcMar>
            <w:vAlign w:val="center"/>
          </w:tcPr>
          <w:p w14:paraId="5910D5DA">
            <w:pPr>
              <w:spacing w:after="0" w:line="276" w:lineRule="auto"/>
              <w:jc w:val="left"/>
            </w:pPr>
            <w:r>
              <w:rPr>
                <w:rFonts w:hint="eastAsia" w:ascii="Songti SC" w:hAnsi="Songti SC" w:eastAsia="Songti SC" w:cs="Songti SC"/>
                <w:b w:val="0"/>
                <w:color w:val="000000"/>
                <w:sz w:val="18"/>
              </w:rPr>
              <w:t>病性、病位、主病、行流、候选方</w:t>
            </w:r>
          </w:p>
        </w:tc>
      </w:tr>
      <w:tr w14:paraId="2732C677">
        <w:trPr>
          <w:cantSplit/>
          <w:jc w:val="center"/>
        </w:trPr>
        <w:tc>
          <w:tcPr>
            <w:tcW w:w="907" w:type="dxa"/>
            <w:shd w:val="clear" w:color="auto" w:fill="F3F6FA"/>
            <w:tcMar>
              <w:top w:w="120" w:type="dxa"/>
              <w:left w:w="140" w:type="dxa"/>
              <w:bottom w:w="120" w:type="dxa"/>
              <w:right w:w="140" w:type="dxa"/>
            </w:tcMar>
            <w:vAlign w:val="center"/>
          </w:tcPr>
          <w:p w14:paraId="76C8CA63">
            <w:pPr>
              <w:spacing w:after="0" w:line="276" w:lineRule="auto"/>
              <w:jc w:val="center"/>
            </w:pPr>
            <w:r>
              <w:rPr>
                <w:rFonts w:hint="eastAsia" w:ascii="Songti SC" w:hAnsi="Songti SC" w:eastAsia="Songti SC" w:cs="Songti SC"/>
                <w:b w:val="0"/>
                <w:color w:val="000000"/>
                <w:sz w:val="18"/>
              </w:rPr>
              <w:t>6</w:t>
            </w:r>
          </w:p>
        </w:tc>
        <w:tc>
          <w:tcPr>
            <w:tcW w:w="3969" w:type="dxa"/>
            <w:shd w:val="clear" w:color="auto" w:fill="F3F6FA"/>
            <w:tcMar>
              <w:top w:w="120" w:type="dxa"/>
              <w:left w:w="140" w:type="dxa"/>
              <w:bottom w:w="120" w:type="dxa"/>
              <w:right w:w="140" w:type="dxa"/>
            </w:tcMar>
            <w:vAlign w:val="center"/>
          </w:tcPr>
          <w:p w14:paraId="3F869E13">
            <w:pPr>
              <w:spacing w:after="0" w:line="276" w:lineRule="auto"/>
              <w:jc w:val="left"/>
            </w:pPr>
            <w:r>
              <w:rPr>
                <w:rFonts w:hint="eastAsia" w:ascii="Songti SC" w:hAnsi="Songti SC" w:eastAsia="Songti SC" w:cs="Songti SC"/>
                <w:b w:val="0"/>
                <w:color w:val="000000"/>
                <w:sz w:val="18"/>
              </w:rPr>
              <w:t>难经五诊采集</w:t>
            </w:r>
          </w:p>
        </w:tc>
        <w:tc>
          <w:tcPr>
            <w:tcW w:w="3742" w:type="dxa"/>
            <w:shd w:val="clear" w:color="auto" w:fill="F3F6FA"/>
            <w:tcMar>
              <w:top w:w="120" w:type="dxa"/>
              <w:left w:w="140" w:type="dxa"/>
              <w:bottom w:w="120" w:type="dxa"/>
              <w:right w:w="140" w:type="dxa"/>
            </w:tcMar>
            <w:vAlign w:val="center"/>
          </w:tcPr>
          <w:p w14:paraId="687D06EF">
            <w:pPr>
              <w:spacing w:after="0" w:line="276" w:lineRule="auto"/>
              <w:jc w:val="left"/>
            </w:pPr>
            <w:r>
              <w:rPr>
                <w:rFonts w:hint="eastAsia" w:ascii="Songti SC" w:hAnsi="Songti SC" w:eastAsia="Songti SC" w:cs="Songti SC"/>
                <w:b w:val="0"/>
                <w:color w:val="000000"/>
                <w:sz w:val="18"/>
              </w:rPr>
              <w:t>五邪、病位、治疗方向提示</w:t>
            </w:r>
          </w:p>
        </w:tc>
      </w:tr>
      <w:tr w14:paraId="7D9B98E5">
        <w:trPr>
          <w:cantSplit/>
          <w:jc w:val="center"/>
        </w:trPr>
        <w:tc>
          <w:tcPr>
            <w:tcW w:w="907" w:type="dxa"/>
            <w:tcMar>
              <w:top w:w="120" w:type="dxa"/>
              <w:left w:w="140" w:type="dxa"/>
              <w:bottom w:w="120" w:type="dxa"/>
              <w:right w:w="140" w:type="dxa"/>
            </w:tcMar>
            <w:vAlign w:val="center"/>
          </w:tcPr>
          <w:p w14:paraId="3F729A18">
            <w:pPr>
              <w:spacing w:after="0" w:line="276" w:lineRule="auto"/>
              <w:jc w:val="center"/>
            </w:pPr>
            <w:r>
              <w:rPr>
                <w:rFonts w:hint="eastAsia" w:ascii="Songti SC" w:hAnsi="Songti SC" w:eastAsia="Songti SC" w:cs="Songti SC"/>
                <w:b w:val="0"/>
                <w:color w:val="000000"/>
                <w:sz w:val="18"/>
              </w:rPr>
              <w:t>7</w:t>
            </w:r>
          </w:p>
        </w:tc>
        <w:tc>
          <w:tcPr>
            <w:tcW w:w="3969" w:type="dxa"/>
            <w:tcMar>
              <w:top w:w="120" w:type="dxa"/>
              <w:left w:w="140" w:type="dxa"/>
              <w:bottom w:w="120" w:type="dxa"/>
              <w:right w:w="140" w:type="dxa"/>
            </w:tcMar>
            <w:vAlign w:val="center"/>
          </w:tcPr>
          <w:p w14:paraId="7BF008E5">
            <w:pPr>
              <w:spacing w:after="0" w:line="276" w:lineRule="auto"/>
              <w:jc w:val="left"/>
            </w:pPr>
            <w:r>
              <w:rPr>
                <w:rFonts w:hint="eastAsia" w:ascii="Songti SC" w:hAnsi="Songti SC" w:eastAsia="Songti SC" w:cs="Songti SC"/>
                <w:b w:val="0"/>
                <w:color w:val="000000"/>
                <w:sz w:val="18"/>
              </w:rPr>
              <w:t>难经脉诊采集</w:t>
            </w:r>
          </w:p>
        </w:tc>
        <w:tc>
          <w:tcPr>
            <w:tcW w:w="3742" w:type="dxa"/>
            <w:tcMar>
              <w:top w:w="120" w:type="dxa"/>
              <w:left w:w="140" w:type="dxa"/>
              <w:bottom w:w="120" w:type="dxa"/>
              <w:right w:w="140" w:type="dxa"/>
            </w:tcMar>
            <w:vAlign w:val="center"/>
          </w:tcPr>
          <w:p w14:paraId="602D09F8">
            <w:pPr>
              <w:spacing w:after="0" w:line="276" w:lineRule="auto"/>
              <w:jc w:val="left"/>
            </w:pPr>
            <w:r>
              <w:rPr>
                <w:rFonts w:hint="eastAsia" w:ascii="Songti SC" w:hAnsi="Songti SC" w:eastAsia="Songti SC" w:cs="Songti SC"/>
                <w:b w:val="0"/>
                <w:color w:val="000000"/>
                <w:sz w:val="18"/>
              </w:rPr>
              <w:t>脉位病位、脉象病性</w:t>
            </w:r>
          </w:p>
        </w:tc>
      </w:tr>
      <w:tr w14:paraId="26793BB0">
        <w:trPr>
          <w:cantSplit/>
          <w:jc w:val="center"/>
        </w:trPr>
        <w:tc>
          <w:tcPr>
            <w:tcW w:w="907" w:type="dxa"/>
            <w:shd w:val="clear" w:color="auto" w:fill="F3F6FA"/>
            <w:tcMar>
              <w:top w:w="120" w:type="dxa"/>
              <w:left w:w="140" w:type="dxa"/>
              <w:bottom w:w="120" w:type="dxa"/>
              <w:right w:w="140" w:type="dxa"/>
            </w:tcMar>
            <w:vAlign w:val="center"/>
          </w:tcPr>
          <w:p w14:paraId="58BD3124">
            <w:pPr>
              <w:spacing w:after="0" w:line="276" w:lineRule="auto"/>
              <w:jc w:val="center"/>
            </w:pPr>
            <w:r>
              <w:rPr>
                <w:rFonts w:hint="eastAsia" w:ascii="Songti SC" w:hAnsi="Songti SC" w:eastAsia="Songti SC" w:cs="Songti SC"/>
                <w:b w:val="0"/>
                <w:color w:val="000000"/>
                <w:sz w:val="18"/>
              </w:rPr>
              <w:t>8</w:t>
            </w:r>
          </w:p>
        </w:tc>
        <w:tc>
          <w:tcPr>
            <w:tcW w:w="3969" w:type="dxa"/>
            <w:shd w:val="clear" w:color="auto" w:fill="F3F6FA"/>
            <w:tcMar>
              <w:top w:w="120" w:type="dxa"/>
              <w:left w:w="140" w:type="dxa"/>
              <w:bottom w:w="120" w:type="dxa"/>
              <w:right w:w="140" w:type="dxa"/>
            </w:tcMar>
            <w:vAlign w:val="center"/>
          </w:tcPr>
          <w:p w14:paraId="6B55D3CF">
            <w:pPr>
              <w:spacing w:after="0" w:line="276" w:lineRule="auto"/>
              <w:jc w:val="left"/>
            </w:pPr>
            <w:r>
              <w:rPr>
                <w:rFonts w:hint="eastAsia" w:ascii="Songti SC" w:hAnsi="Songti SC" w:eastAsia="Songti SC" w:cs="Songti SC"/>
                <w:b w:val="0"/>
                <w:color w:val="000000"/>
                <w:sz w:val="18"/>
              </w:rPr>
              <w:t>伤寒类证鉴别树</w:t>
            </w:r>
          </w:p>
        </w:tc>
        <w:tc>
          <w:tcPr>
            <w:tcW w:w="3742" w:type="dxa"/>
            <w:shd w:val="clear" w:color="auto" w:fill="F3F6FA"/>
            <w:tcMar>
              <w:top w:w="120" w:type="dxa"/>
              <w:left w:w="140" w:type="dxa"/>
              <w:bottom w:w="120" w:type="dxa"/>
              <w:right w:w="140" w:type="dxa"/>
            </w:tcMar>
            <w:vAlign w:val="center"/>
          </w:tcPr>
          <w:p w14:paraId="5A2EF95C">
            <w:pPr>
              <w:spacing w:after="0" w:line="276" w:lineRule="auto"/>
              <w:jc w:val="left"/>
            </w:pPr>
            <w:r>
              <w:rPr>
                <w:rFonts w:hint="eastAsia" w:ascii="Songti SC" w:hAnsi="Songti SC" w:eastAsia="Songti SC" w:cs="Songti SC"/>
                <w:b w:val="0"/>
                <w:color w:val="000000"/>
                <w:sz w:val="18"/>
              </w:rPr>
              <w:t>主诉、梯队兼证、重复命中、候选方</w:t>
            </w:r>
          </w:p>
        </w:tc>
      </w:tr>
      <w:tr w14:paraId="6FF9201B">
        <w:trPr>
          <w:cantSplit/>
          <w:jc w:val="center"/>
        </w:trPr>
        <w:tc>
          <w:tcPr>
            <w:tcW w:w="907" w:type="dxa"/>
            <w:tcMar>
              <w:top w:w="120" w:type="dxa"/>
              <w:left w:w="140" w:type="dxa"/>
              <w:bottom w:w="120" w:type="dxa"/>
              <w:right w:w="140" w:type="dxa"/>
            </w:tcMar>
            <w:vAlign w:val="center"/>
          </w:tcPr>
          <w:p w14:paraId="734AB880">
            <w:pPr>
              <w:spacing w:after="0" w:line="276" w:lineRule="auto"/>
              <w:jc w:val="center"/>
            </w:pPr>
            <w:r>
              <w:rPr>
                <w:rFonts w:hint="eastAsia" w:ascii="Songti SC" w:hAnsi="Songti SC" w:eastAsia="Songti SC" w:cs="Songti SC"/>
                <w:b w:val="0"/>
                <w:color w:val="000000"/>
                <w:sz w:val="18"/>
              </w:rPr>
              <w:t>9</w:t>
            </w:r>
          </w:p>
        </w:tc>
        <w:tc>
          <w:tcPr>
            <w:tcW w:w="3969" w:type="dxa"/>
            <w:tcMar>
              <w:top w:w="120" w:type="dxa"/>
              <w:left w:w="140" w:type="dxa"/>
              <w:bottom w:w="120" w:type="dxa"/>
              <w:right w:w="140" w:type="dxa"/>
            </w:tcMar>
            <w:vAlign w:val="center"/>
          </w:tcPr>
          <w:p w14:paraId="0489903E">
            <w:pPr>
              <w:spacing w:after="0" w:line="276" w:lineRule="auto"/>
              <w:jc w:val="left"/>
            </w:pPr>
            <w:r>
              <w:rPr>
                <w:rFonts w:hint="eastAsia" w:ascii="Songti SC" w:hAnsi="Songti SC" w:eastAsia="Songti SC" w:cs="Songti SC"/>
                <w:b w:val="0"/>
                <w:color w:val="000000"/>
                <w:sz w:val="18"/>
              </w:rPr>
              <w:t>方症评分</w:t>
            </w:r>
          </w:p>
        </w:tc>
        <w:tc>
          <w:tcPr>
            <w:tcW w:w="3742" w:type="dxa"/>
            <w:tcMar>
              <w:top w:w="120" w:type="dxa"/>
              <w:left w:w="140" w:type="dxa"/>
              <w:bottom w:w="120" w:type="dxa"/>
              <w:right w:w="140" w:type="dxa"/>
            </w:tcMar>
            <w:vAlign w:val="center"/>
          </w:tcPr>
          <w:p w14:paraId="26E094D5">
            <w:pPr>
              <w:spacing w:after="0" w:line="276" w:lineRule="auto"/>
              <w:jc w:val="left"/>
            </w:pPr>
            <w:r>
              <w:rPr>
                <w:rFonts w:hint="eastAsia" w:ascii="Songti SC" w:hAnsi="Songti SC" w:eastAsia="Songti SC" w:cs="Songti SC"/>
                <w:b w:val="0"/>
                <w:color w:val="000000"/>
                <w:sz w:val="18"/>
              </w:rPr>
              <w:t>候选方支持项、冲突项、风险项</w:t>
            </w:r>
          </w:p>
        </w:tc>
      </w:tr>
      <w:tr w14:paraId="4AB0532A">
        <w:trPr>
          <w:cantSplit/>
          <w:jc w:val="center"/>
        </w:trPr>
        <w:tc>
          <w:tcPr>
            <w:tcW w:w="907" w:type="dxa"/>
            <w:shd w:val="clear" w:color="auto" w:fill="F3F6FA"/>
            <w:tcMar>
              <w:top w:w="120" w:type="dxa"/>
              <w:left w:w="140" w:type="dxa"/>
              <w:bottom w:w="120" w:type="dxa"/>
              <w:right w:w="140" w:type="dxa"/>
            </w:tcMar>
            <w:vAlign w:val="center"/>
          </w:tcPr>
          <w:p w14:paraId="3DE3882C">
            <w:pPr>
              <w:spacing w:after="0" w:line="276" w:lineRule="auto"/>
              <w:jc w:val="center"/>
            </w:pPr>
            <w:r>
              <w:rPr>
                <w:rFonts w:hint="eastAsia" w:ascii="Songti SC" w:hAnsi="Songti SC" w:eastAsia="Songti SC" w:cs="Songti SC"/>
                <w:b w:val="0"/>
                <w:color w:val="000000"/>
                <w:sz w:val="18"/>
              </w:rPr>
              <w:t>10</w:t>
            </w:r>
          </w:p>
        </w:tc>
        <w:tc>
          <w:tcPr>
            <w:tcW w:w="3969" w:type="dxa"/>
            <w:shd w:val="clear" w:color="auto" w:fill="F3F6FA"/>
            <w:tcMar>
              <w:top w:w="120" w:type="dxa"/>
              <w:left w:w="140" w:type="dxa"/>
              <w:bottom w:w="120" w:type="dxa"/>
              <w:right w:w="140" w:type="dxa"/>
            </w:tcMar>
            <w:vAlign w:val="center"/>
          </w:tcPr>
          <w:p w14:paraId="0CA5FE12">
            <w:pPr>
              <w:spacing w:after="0" w:line="276" w:lineRule="auto"/>
              <w:jc w:val="left"/>
            </w:pPr>
            <w:r>
              <w:rPr>
                <w:rFonts w:hint="eastAsia" w:ascii="Songti SC" w:hAnsi="Songti SC" w:eastAsia="Songti SC" w:cs="Songti SC"/>
                <w:b w:val="0"/>
                <w:color w:val="000000"/>
                <w:sz w:val="18"/>
              </w:rPr>
              <w:t>汇总合参</w:t>
            </w:r>
          </w:p>
        </w:tc>
        <w:tc>
          <w:tcPr>
            <w:tcW w:w="3742" w:type="dxa"/>
            <w:shd w:val="clear" w:color="auto" w:fill="F3F6FA"/>
            <w:tcMar>
              <w:top w:w="120" w:type="dxa"/>
              <w:left w:w="140" w:type="dxa"/>
              <w:bottom w:w="120" w:type="dxa"/>
              <w:right w:w="140" w:type="dxa"/>
            </w:tcMar>
            <w:vAlign w:val="center"/>
          </w:tcPr>
          <w:p w14:paraId="0CE3FF9D">
            <w:pPr>
              <w:spacing w:after="0" w:line="276" w:lineRule="auto"/>
              <w:jc w:val="left"/>
            </w:pPr>
            <w:r>
              <w:rPr>
                <w:rFonts w:hint="eastAsia" w:ascii="Songti SC" w:hAnsi="Songti SC" w:eastAsia="Songti SC" w:cs="Songti SC"/>
                <w:b w:val="0"/>
                <w:color w:val="000000"/>
                <w:sz w:val="18"/>
              </w:rPr>
              <w:t>最佳方案建议方向</w:t>
            </w:r>
          </w:p>
        </w:tc>
      </w:tr>
      <w:tr w14:paraId="7B702BDA">
        <w:trPr>
          <w:cantSplit/>
          <w:jc w:val="center"/>
        </w:trPr>
        <w:tc>
          <w:tcPr>
            <w:tcW w:w="907" w:type="dxa"/>
            <w:tcMar>
              <w:top w:w="120" w:type="dxa"/>
              <w:left w:w="140" w:type="dxa"/>
              <w:bottom w:w="120" w:type="dxa"/>
              <w:right w:w="140" w:type="dxa"/>
            </w:tcMar>
            <w:vAlign w:val="center"/>
          </w:tcPr>
          <w:p w14:paraId="1F3C5E71">
            <w:pPr>
              <w:spacing w:after="0" w:line="276" w:lineRule="auto"/>
              <w:jc w:val="center"/>
            </w:pPr>
            <w:r>
              <w:rPr>
                <w:rFonts w:hint="eastAsia" w:ascii="Songti SC" w:hAnsi="Songti SC" w:eastAsia="Songti SC" w:cs="Songti SC"/>
                <w:b w:val="0"/>
                <w:color w:val="000000"/>
                <w:sz w:val="18"/>
              </w:rPr>
              <w:t>11</w:t>
            </w:r>
          </w:p>
        </w:tc>
        <w:tc>
          <w:tcPr>
            <w:tcW w:w="3969" w:type="dxa"/>
            <w:tcMar>
              <w:top w:w="120" w:type="dxa"/>
              <w:left w:w="140" w:type="dxa"/>
              <w:bottom w:w="120" w:type="dxa"/>
              <w:right w:w="140" w:type="dxa"/>
            </w:tcMar>
            <w:vAlign w:val="center"/>
          </w:tcPr>
          <w:p w14:paraId="55F0F241">
            <w:pPr>
              <w:spacing w:after="0" w:line="276" w:lineRule="auto"/>
              <w:jc w:val="left"/>
            </w:pPr>
            <w:r>
              <w:rPr>
                <w:rFonts w:hint="eastAsia" w:ascii="Songti SC" w:hAnsi="Songti SC" w:eastAsia="Songti SC" w:cs="Songti SC"/>
                <w:b w:val="0"/>
                <w:color w:val="000000"/>
                <w:sz w:val="18"/>
              </w:rPr>
              <w:t>医师处方与告知</w:t>
            </w:r>
          </w:p>
        </w:tc>
        <w:tc>
          <w:tcPr>
            <w:tcW w:w="3742" w:type="dxa"/>
            <w:tcMar>
              <w:top w:w="120" w:type="dxa"/>
              <w:left w:w="140" w:type="dxa"/>
              <w:bottom w:w="120" w:type="dxa"/>
              <w:right w:w="140" w:type="dxa"/>
            </w:tcMar>
            <w:vAlign w:val="center"/>
          </w:tcPr>
          <w:p w14:paraId="23D435A9">
            <w:pPr>
              <w:spacing w:after="0" w:line="276" w:lineRule="auto"/>
              <w:jc w:val="left"/>
            </w:pPr>
            <w:r>
              <w:rPr>
                <w:rFonts w:hint="eastAsia" w:ascii="Songti SC" w:hAnsi="Songti SC" w:eastAsia="Songti SC" w:cs="Songti SC"/>
                <w:b w:val="0"/>
                <w:color w:val="000000"/>
                <w:sz w:val="18"/>
              </w:rPr>
              <w:t>主方、加减、煎服法、禁忌、复诊计划</w:t>
            </w:r>
          </w:p>
        </w:tc>
      </w:tr>
      <w:tr w14:paraId="5104910B">
        <w:trPr>
          <w:cantSplit/>
          <w:jc w:val="center"/>
        </w:trPr>
        <w:tc>
          <w:tcPr>
            <w:tcW w:w="907" w:type="dxa"/>
            <w:shd w:val="clear" w:color="auto" w:fill="F3F6FA"/>
            <w:tcMar>
              <w:top w:w="120" w:type="dxa"/>
              <w:left w:w="140" w:type="dxa"/>
              <w:bottom w:w="120" w:type="dxa"/>
              <w:right w:w="140" w:type="dxa"/>
            </w:tcMar>
            <w:vAlign w:val="center"/>
          </w:tcPr>
          <w:p w14:paraId="620C8631">
            <w:pPr>
              <w:spacing w:after="0" w:line="276" w:lineRule="auto"/>
              <w:jc w:val="center"/>
            </w:pPr>
            <w:r>
              <w:rPr>
                <w:rFonts w:hint="eastAsia" w:ascii="Songti SC" w:hAnsi="Songti SC" w:eastAsia="Songti SC" w:cs="Songti SC"/>
                <w:b w:val="0"/>
                <w:color w:val="000000"/>
                <w:sz w:val="18"/>
              </w:rPr>
              <w:t>12</w:t>
            </w:r>
          </w:p>
        </w:tc>
        <w:tc>
          <w:tcPr>
            <w:tcW w:w="3969" w:type="dxa"/>
            <w:shd w:val="clear" w:color="auto" w:fill="F3F6FA"/>
            <w:tcMar>
              <w:top w:w="120" w:type="dxa"/>
              <w:left w:w="140" w:type="dxa"/>
              <w:bottom w:w="120" w:type="dxa"/>
              <w:right w:w="140" w:type="dxa"/>
            </w:tcMar>
            <w:vAlign w:val="center"/>
          </w:tcPr>
          <w:p w14:paraId="5F2486D2">
            <w:pPr>
              <w:spacing w:after="0" w:line="276" w:lineRule="auto"/>
              <w:jc w:val="left"/>
            </w:pPr>
            <w:r>
              <w:rPr>
                <w:rFonts w:hint="eastAsia" w:ascii="Songti SC" w:hAnsi="Songti SC" w:eastAsia="Songti SC" w:cs="Songti SC"/>
                <w:b w:val="0"/>
                <w:color w:val="000000"/>
                <w:sz w:val="18"/>
              </w:rPr>
              <w:t>复诊验效与失败分析</w:t>
            </w:r>
          </w:p>
        </w:tc>
        <w:tc>
          <w:tcPr>
            <w:tcW w:w="3742" w:type="dxa"/>
            <w:shd w:val="clear" w:color="auto" w:fill="F3F6FA"/>
            <w:tcMar>
              <w:top w:w="120" w:type="dxa"/>
              <w:left w:w="140" w:type="dxa"/>
              <w:bottom w:w="120" w:type="dxa"/>
              <w:right w:w="140" w:type="dxa"/>
            </w:tcMar>
            <w:vAlign w:val="center"/>
          </w:tcPr>
          <w:p w14:paraId="4F1DC7AC">
            <w:pPr>
              <w:spacing w:after="0" w:line="276" w:lineRule="auto"/>
              <w:jc w:val="left"/>
            </w:pPr>
            <w:r>
              <w:rPr>
                <w:rFonts w:hint="eastAsia" w:ascii="Songti SC" w:hAnsi="Songti SC" w:eastAsia="Songti SC" w:cs="Songti SC"/>
                <w:b w:val="0"/>
                <w:color w:val="000000"/>
                <w:sz w:val="18"/>
              </w:rPr>
              <w:t>疗效评价、守方/换方/转诊、病案入库</w:t>
            </w:r>
          </w:p>
        </w:tc>
      </w:tr>
    </w:tbl>
    <w:p w14:paraId="6FBA535D">
      <w:pPr>
        <w:spacing w:after="0"/>
      </w:pPr>
    </w:p>
    <w:p w14:paraId="7A76F9F9">
      <w:pPr>
        <w:ind w:firstLine="420"/>
      </w:pPr>
      <w:r>
        <w:rPr>
          <w:rFonts w:hint="eastAsia" w:ascii="Songti SC" w:hAnsi="Songti SC" w:eastAsia="Songti SC" w:cs="Songti SC"/>
          <w:sz w:val="21"/>
        </w:rPr>
        <w:t>任何单一模块均不能直接形成最终诊断或处方。诊疗方案必须由具备相应资质的医师综合病史、四诊、推演、方证与风险信息后确定。</w:t>
      </w:r>
    </w:p>
    <w:p w14:paraId="58B4A8C1">
      <w:pPr>
        <w:pStyle w:val="3"/>
      </w:pPr>
      <w:r>
        <w:rPr>
          <w:rFonts w:hint="eastAsia" w:ascii="Hiragino Sans GB" w:hAnsi="Hiragino Sans GB" w:eastAsia="Hiragino Sans GB" w:cs="Hiragino Sans GB"/>
        </w:rPr>
        <w:t>六 数字化体系 本地知识库、标准病案库与辅助系统</w:t>
      </w:r>
    </w:p>
    <w:p w14:paraId="61810D65">
      <w:pPr>
        <w:pStyle w:val="4"/>
      </w:pPr>
      <w:r>
        <w:rPr>
          <w:rFonts w:hint="eastAsia" w:ascii="Hiragino Sans GB" w:hAnsi="Hiragino Sans GB" w:eastAsia="Hiragino Sans GB" w:cs="Hiragino Sans GB"/>
        </w:rPr>
        <w:t>1 本地知识库</w:t>
      </w:r>
    </w:p>
    <w:p w14:paraId="2C08457A">
      <w:pPr>
        <w:ind w:firstLine="420"/>
      </w:pPr>
      <w:r>
        <w:rPr>
          <w:rFonts w:hint="eastAsia" w:ascii="Songti SC" w:hAnsi="Songti SC" w:eastAsia="Songti SC" w:cs="Songti SC"/>
          <w:sz w:val="21"/>
        </w:rPr>
        <w:t>泰山经方数字传承资料库采用本地保存原则，重点整理：</w:t>
      </w:r>
    </w:p>
    <w:p w14:paraId="1E83B9BF">
      <w:pPr>
        <w:spacing w:after="60"/>
        <w:ind w:left="425" w:hanging="312"/>
      </w:pPr>
      <w:r>
        <w:rPr>
          <w:rFonts w:hint="eastAsia" w:ascii="Songti SC" w:hAnsi="Songti SC" w:eastAsia="Songti SC" w:cs="Songti SC"/>
          <w:sz w:val="21"/>
        </w:rPr>
        <w:t>•  项目总档案和学术纲要。</w:t>
      </w:r>
    </w:p>
    <w:p w14:paraId="38956481">
      <w:pPr>
        <w:spacing w:after="60"/>
        <w:ind w:left="425" w:hanging="312"/>
      </w:pPr>
      <w:r>
        <w:rPr>
          <w:rFonts w:hint="eastAsia" w:ascii="Songti SC" w:hAnsi="Songti SC" w:eastAsia="Songti SC" w:cs="Songti SC"/>
          <w:sz w:val="21"/>
        </w:rPr>
        <w:t>•  传承谱系、讲课视频、口述资料。</w:t>
      </w:r>
    </w:p>
    <w:p w14:paraId="0B349BE4">
      <w:pPr>
        <w:spacing w:after="60"/>
        <w:ind w:left="425" w:hanging="312"/>
      </w:pPr>
      <w:r>
        <w:rPr>
          <w:rFonts w:hint="eastAsia" w:ascii="Songti SC" w:hAnsi="Songti SC" w:eastAsia="Songti SC" w:cs="Songti SC"/>
          <w:sz w:val="21"/>
        </w:rPr>
        <w:t>•  方剂知识库和五味组方规则。</w:t>
      </w:r>
    </w:p>
    <w:p w14:paraId="431959E7">
      <w:pPr>
        <w:spacing w:after="60"/>
        <w:ind w:left="425" w:hanging="312"/>
      </w:pPr>
      <w:r>
        <w:rPr>
          <w:rFonts w:hint="eastAsia" w:ascii="Songti SC" w:hAnsi="Songti SC" w:eastAsia="Songti SC" w:cs="Songti SC"/>
          <w:sz w:val="21"/>
        </w:rPr>
        <w:t>•  标准化诊疗流程。</w:t>
      </w:r>
    </w:p>
    <w:p w14:paraId="138FB179">
      <w:pPr>
        <w:spacing w:after="60"/>
        <w:ind w:left="425" w:hanging="312"/>
      </w:pPr>
      <w:r>
        <w:rPr>
          <w:rFonts w:hint="eastAsia" w:ascii="Songti SC" w:hAnsi="Songti SC" w:eastAsia="Songti SC" w:cs="Songti SC"/>
          <w:sz w:val="21"/>
        </w:rPr>
        <w:t>•  术语库和本地提示词。</w:t>
      </w:r>
    </w:p>
    <w:p w14:paraId="2630B7C0">
      <w:pPr>
        <w:spacing w:after="60"/>
        <w:ind w:left="425" w:hanging="312"/>
      </w:pPr>
      <w:r>
        <w:rPr>
          <w:rFonts w:hint="eastAsia" w:ascii="Songti SC" w:hAnsi="Songti SC" w:eastAsia="Songti SC" w:cs="Songti SC"/>
          <w:sz w:val="21"/>
        </w:rPr>
        <w:t>•  外部导入原始资料。</w:t>
      </w:r>
    </w:p>
    <w:p w14:paraId="55386F44">
      <w:pPr>
        <w:spacing w:after="60"/>
        <w:ind w:left="425" w:hanging="312"/>
      </w:pPr>
      <w:r>
        <w:rPr>
          <w:rFonts w:hint="eastAsia" w:ascii="Songti SC" w:hAnsi="Songti SC" w:eastAsia="Songti SC" w:cs="Songti SC"/>
          <w:sz w:val="21"/>
        </w:rPr>
        <w:t>•  本地学习笔记和软件设计文档。</w:t>
      </w:r>
    </w:p>
    <w:p w14:paraId="23BB29BF">
      <w:pPr>
        <w:ind w:firstLine="420"/>
      </w:pPr>
      <w:r>
        <w:rPr>
          <w:rFonts w:hint="eastAsia" w:ascii="Songti SC" w:hAnsi="Songti SC" w:eastAsia="Songti SC" w:cs="Songti SC"/>
          <w:sz w:val="21"/>
        </w:rPr>
        <w:t>本地知识库用于将分散资料转化为可检索、可管理、可追溯的传承档案，并为教学、研究与版本治理提供依据。</w:t>
      </w:r>
    </w:p>
    <w:p w14:paraId="04CA20D4">
      <w:pPr>
        <w:pStyle w:val="4"/>
      </w:pPr>
      <w:r>
        <w:rPr>
          <w:rFonts w:hint="eastAsia" w:ascii="Hiragino Sans GB" w:hAnsi="Hiragino Sans GB" w:eastAsia="Hiragino Sans GB" w:cs="Hiragino Sans GB"/>
        </w:rPr>
        <w:t>2 100例标准病案库</w:t>
      </w:r>
    </w:p>
    <w:p w14:paraId="75E2BB58">
      <w:pPr>
        <w:ind w:firstLine="420"/>
      </w:pPr>
      <w:r>
        <w:rPr>
          <w:rFonts w:hint="eastAsia" w:ascii="Songti SC" w:hAnsi="Songti SC" w:eastAsia="Songti SC" w:cs="Songti SC"/>
          <w:sz w:val="21"/>
        </w:rPr>
        <w:t>泰山经方标准化诊疗法已建立100例标准病案库框架。每例病案原则上包括首诊信息、方证判断、处方、复诊、疗效评价、失败分析、教学提炼和脱敏审查。</w:t>
      </w:r>
    </w:p>
    <w:p w14:paraId="7492EC5E">
      <w:pPr>
        <w:ind w:firstLine="420"/>
      </w:pPr>
      <w:r>
        <w:rPr>
          <w:rFonts w:hint="eastAsia" w:ascii="Songti SC" w:hAnsi="Songti SC" w:eastAsia="Songti SC" w:cs="Songti SC"/>
          <w:sz w:val="21"/>
        </w:rPr>
        <w:t>病案库应积累真实、连续、可复核的临床资料，同时记录显效、无效、不良反应、失访与转诊情况。对成功经验和失败原因进行同等审查，才能逐步明确适用范围并形成证据基础。</w:t>
      </w:r>
    </w:p>
    <w:p w14:paraId="50D7FDEF">
      <w:pPr>
        <w:pStyle w:val="4"/>
      </w:pPr>
      <w:r>
        <w:rPr>
          <w:rFonts w:hint="eastAsia" w:ascii="Hiragino Sans GB" w:hAnsi="Hiragino Sans GB" w:eastAsia="Hiragino Sans GB" w:cs="Hiragino Sans GB"/>
        </w:rPr>
        <w:t>3 本地化与隐私保护</w:t>
      </w:r>
    </w:p>
    <w:p w14:paraId="15832FDE">
      <w:pPr>
        <w:ind w:firstLine="420"/>
      </w:pPr>
      <w:r>
        <w:rPr>
          <w:rFonts w:hint="eastAsia" w:ascii="Songti SC" w:hAnsi="Songti SC" w:eastAsia="Songti SC" w:cs="Songti SC"/>
          <w:sz w:val="21"/>
        </w:rPr>
        <w:t>本项目坚持“本地优先、隐私优先、医师优先”的数字化原则：</w:t>
      </w:r>
    </w:p>
    <w:p w14:paraId="7DA21D5D">
      <w:pPr>
        <w:spacing w:after="60"/>
        <w:ind w:left="425" w:hanging="312"/>
      </w:pPr>
      <w:r>
        <w:rPr>
          <w:rFonts w:hint="eastAsia" w:ascii="Songti SC" w:hAnsi="Songti SC" w:eastAsia="Songti SC" w:cs="Songti SC"/>
          <w:sz w:val="21"/>
        </w:rPr>
        <w:t>•  原始病案、处方剂量、聊天截图和内部研究资料保存在本地。</w:t>
      </w:r>
    </w:p>
    <w:p w14:paraId="31FC603B">
      <w:pPr>
        <w:spacing w:after="60"/>
        <w:ind w:left="425" w:hanging="312"/>
      </w:pPr>
      <w:r>
        <w:rPr>
          <w:rFonts w:hint="eastAsia" w:ascii="Songti SC" w:hAnsi="Songti SC" w:eastAsia="Songti SC" w:cs="Songti SC"/>
          <w:sz w:val="21"/>
        </w:rPr>
        <w:t>•  患者隐私不上传云端，不进入公共模型训练。</w:t>
      </w:r>
    </w:p>
    <w:p w14:paraId="756A524B">
      <w:pPr>
        <w:spacing w:after="60"/>
        <w:ind w:left="425" w:hanging="312"/>
      </w:pPr>
      <w:r>
        <w:rPr>
          <w:rFonts w:hint="eastAsia" w:ascii="Songti SC" w:hAnsi="Songti SC" w:eastAsia="Songti SC" w:cs="Songti SC"/>
          <w:sz w:val="21"/>
        </w:rPr>
        <w:t>•  对外材料必须脱敏、授权、复核。</w:t>
      </w:r>
    </w:p>
    <w:p w14:paraId="2175BFA4">
      <w:pPr>
        <w:spacing w:after="60"/>
        <w:ind w:left="425" w:hanging="312"/>
      </w:pPr>
      <w:r>
        <w:rPr>
          <w:rFonts w:hint="eastAsia" w:ascii="Songti SC" w:hAnsi="Songti SC" w:eastAsia="Songti SC" w:cs="Songti SC"/>
          <w:sz w:val="21"/>
        </w:rPr>
        <w:t>•  内部未公开规则不进入公众科普材料。</w:t>
      </w:r>
    </w:p>
    <w:p w14:paraId="55D8E271">
      <w:pPr>
        <w:spacing w:after="60"/>
        <w:ind w:left="425" w:hanging="312"/>
      </w:pPr>
      <w:r>
        <w:rPr>
          <w:rFonts w:hint="eastAsia" w:ascii="Songti SC" w:hAnsi="Songti SC" w:eastAsia="Songti SC" w:cs="Songti SC"/>
          <w:sz w:val="21"/>
        </w:rPr>
        <w:t>•  AI只做整理、提示、合参，不做自动诊断和自动开方。</w:t>
      </w:r>
    </w:p>
    <w:p w14:paraId="0E3FDC4D">
      <w:pPr>
        <w:pStyle w:val="3"/>
      </w:pPr>
      <w:r>
        <w:t>七 民生价值 提升中医药服务规范性与可及性</w:t>
      </w:r>
    </w:p>
    <w:p w14:paraId="1BA56436">
      <w:pPr>
        <w:pStyle w:val="4"/>
      </w:pPr>
      <w:r>
        <w:rPr>
          <w:rFonts w:hint="eastAsia" w:ascii="Hiragino Sans GB" w:hAnsi="Hiragino Sans GB" w:eastAsia="Hiragino Sans GB" w:cs="Hiragino Sans GB"/>
        </w:rPr>
        <w:t>1 服务基层常见健康问题</w:t>
      </w:r>
    </w:p>
    <w:p w14:paraId="152DC058">
      <w:pPr>
        <w:ind w:firstLine="420"/>
      </w:pPr>
      <w:r>
        <w:rPr>
          <w:rFonts w:hint="eastAsia" w:ascii="Songti SC" w:hAnsi="Songti SC" w:eastAsia="Songti SC" w:cs="Songti SC"/>
          <w:sz w:val="21"/>
        </w:rPr>
        <w:t>在符合医疗资质和伦理要求的前提下，可围绕基层常见且适合连续观察的健康问题开展病案建设与临床观察，例如失眠、脾胃相关症状、外感后调理、慢性疲劳、情志相关不适、妇科调理、体质偏颇和老年功能维护等。具体病种范围应结合机构能力、证据基础和风险评估确定。</w:t>
      </w:r>
    </w:p>
    <w:p w14:paraId="72F141E8">
      <w:pPr>
        <w:ind w:firstLine="420"/>
      </w:pPr>
      <w:r>
        <w:rPr>
          <w:rFonts w:hint="eastAsia" w:ascii="Songti SC" w:hAnsi="Songti SC" w:eastAsia="Songti SC" w:cs="Songti SC"/>
          <w:sz w:val="21"/>
        </w:rPr>
        <w:t>上述方向通常需要连续观察、生活方式干预、体质辨识与复诊管理，适合通过标准病案和真实世界数据逐步积累证据，但不得据此扩大适应证或作出未经验证的疗效承诺。</w:t>
      </w:r>
    </w:p>
    <w:p w14:paraId="2E434319">
      <w:pPr>
        <w:pStyle w:val="4"/>
      </w:pPr>
      <w:r>
        <w:rPr>
          <w:rFonts w:hint="eastAsia" w:ascii="Hiragino Sans GB" w:hAnsi="Hiragino Sans GB" w:eastAsia="Hiragino Sans GB" w:cs="Hiragino Sans GB"/>
        </w:rPr>
        <w:t>2 提升群众看病体验</w:t>
      </w:r>
    </w:p>
    <w:p w14:paraId="4A680455">
      <w:pPr>
        <w:ind w:firstLine="420"/>
      </w:pPr>
      <w:r>
        <w:rPr>
          <w:rFonts w:hint="eastAsia" w:ascii="Songti SC" w:hAnsi="Songti SC" w:eastAsia="Songti SC" w:cs="Songti SC"/>
          <w:sz w:val="21"/>
        </w:rPr>
        <w:t>通过标准病案和数字化辅助，患者可以获得更清楚的诊疗解释：</w:t>
      </w:r>
    </w:p>
    <w:p w14:paraId="4BC1CA93">
      <w:pPr>
        <w:spacing w:after="60"/>
        <w:ind w:left="425" w:hanging="312"/>
      </w:pPr>
      <w:r>
        <w:rPr>
          <w:rFonts w:hint="eastAsia" w:ascii="Songti SC" w:hAnsi="Songti SC" w:eastAsia="Songti SC" w:cs="Songti SC"/>
          <w:sz w:val="21"/>
        </w:rPr>
        <w:t>•  为什么采集出生日期、发病日期和节气气候。</w:t>
      </w:r>
    </w:p>
    <w:p w14:paraId="604AD042">
      <w:pPr>
        <w:spacing w:after="60"/>
        <w:ind w:left="425" w:hanging="312"/>
      </w:pPr>
      <w:r>
        <w:rPr>
          <w:rFonts w:hint="eastAsia" w:ascii="Songti SC" w:hAnsi="Songti SC" w:eastAsia="Songti SC" w:cs="Songti SC"/>
          <w:sz w:val="21"/>
        </w:rPr>
        <w:t>•  为什么要问饮食、睡眠、二便、情志。</w:t>
      </w:r>
    </w:p>
    <w:p w14:paraId="6986CE86">
      <w:pPr>
        <w:spacing w:after="60"/>
        <w:ind w:left="425" w:hanging="312"/>
      </w:pPr>
      <w:r>
        <w:rPr>
          <w:rFonts w:hint="eastAsia" w:ascii="Songti SC" w:hAnsi="Songti SC" w:eastAsia="Songti SC" w:cs="Songti SC"/>
          <w:sz w:val="21"/>
        </w:rPr>
        <w:t>•  为什么要观察色、味、声、液和脉。</w:t>
      </w:r>
    </w:p>
    <w:p w14:paraId="28210B5C">
      <w:pPr>
        <w:spacing w:after="60"/>
        <w:ind w:left="425" w:hanging="312"/>
      </w:pPr>
      <w:r>
        <w:rPr>
          <w:rFonts w:hint="eastAsia" w:ascii="Songti SC" w:hAnsi="Songti SC" w:eastAsia="Songti SC" w:cs="Songti SC"/>
          <w:sz w:val="21"/>
        </w:rPr>
        <w:t>•  为什么选这个方，而不是另一个相似方。</w:t>
      </w:r>
    </w:p>
    <w:p w14:paraId="17B31052">
      <w:pPr>
        <w:spacing w:after="60"/>
        <w:ind w:left="425" w:hanging="312"/>
      </w:pPr>
      <w:r>
        <w:rPr>
          <w:rFonts w:hint="eastAsia" w:ascii="Songti SC" w:hAnsi="Songti SC" w:eastAsia="Songti SC" w:cs="Songti SC"/>
          <w:sz w:val="21"/>
        </w:rPr>
        <w:t>•  服药后观察什么，何时复诊，什么情况必须停药或转诊。</w:t>
      </w:r>
    </w:p>
    <w:p w14:paraId="1E1E5782">
      <w:pPr>
        <w:ind w:firstLine="420"/>
      </w:pPr>
      <w:r>
        <w:rPr>
          <w:rFonts w:hint="eastAsia" w:ascii="Songti SC" w:hAnsi="Songti SC" w:eastAsia="Songti SC" w:cs="Songti SC"/>
          <w:sz w:val="21"/>
        </w:rPr>
        <w:t>清楚说明诊察目的、选方依据、观察指标和风险边界，有助于减少盲目用药，改善医患沟通与随访依从性，并提高诊疗过程的透明度。</w:t>
      </w:r>
    </w:p>
    <w:p w14:paraId="7D9B07FA">
      <w:pPr>
        <w:pStyle w:val="4"/>
      </w:pPr>
      <w:r>
        <w:rPr>
          <w:rFonts w:hint="eastAsia" w:ascii="Hiragino Sans GB" w:hAnsi="Hiragino Sans GB" w:eastAsia="Hiragino Sans GB" w:cs="Hiragino Sans GB"/>
        </w:rPr>
        <w:t>3 服务老龄化和治未病</w:t>
      </w:r>
    </w:p>
    <w:p w14:paraId="104D6B10">
      <w:pPr>
        <w:ind w:firstLine="420"/>
      </w:pPr>
      <w:r>
        <w:rPr>
          <w:rFonts w:hint="eastAsia" w:ascii="Songti SC" w:hAnsi="Songti SC" w:eastAsia="Songti SC" w:cs="Songti SC"/>
          <w:sz w:val="21"/>
        </w:rPr>
        <w:t>随着人口老龄化持续发展，慢病管理、功能维护、体质调护和健康生活方式指导的重要性进一步上升。泰山经方标准化诊疗法涉及的体质辨识、经络调护和食疗建议，可在明确证据边界与合规要求的前提下用于治未病和健康管理。</w:t>
      </w:r>
    </w:p>
    <w:p w14:paraId="135B4076">
      <w:pPr>
        <w:ind w:firstLine="420"/>
      </w:pPr>
      <w:r>
        <w:rPr>
          <w:rFonts w:hint="eastAsia" w:ascii="Songti SC" w:hAnsi="Songti SC" w:eastAsia="Songti SC" w:cs="Songti SC"/>
          <w:sz w:val="21"/>
        </w:rPr>
        <w:t>调护建议属于健康管理内容，不能替代疾病诊断与治疗，也不能作为患者自行停药或拒绝必要检查的依据。</w:t>
      </w:r>
    </w:p>
    <w:p w14:paraId="06936D7B">
      <w:pPr>
        <w:pStyle w:val="3"/>
        <w:pageBreakBefore/>
      </w:pPr>
      <w:r>
        <w:rPr>
          <w:rFonts w:hint="eastAsia" w:ascii="Hiragino Sans GB" w:hAnsi="Hiragino Sans GB" w:eastAsia="Hiragino Sans GB" w:cs="Hiragino Sans GB"/>
        </w:rPr>
        <w:t>八 证据建设 从个案经验到真实世界研究</w:t>
      </w:r>
    </w:p>
    <w:p w14:paraId="75A4FDBD">
      <w:pPr>
        <w:pStyle w:val="4"/>
      </w:pPr>
      <w:r>
        <w:rPr>
          <w:rFonts w:hint="eastAsia" w:ascii="Hiragino Sans GB" w:hAnsi="Hiragino Sans GB" w:eastAsia="Hiragino Sans GB" w:cs="Hiragino Sans GB"/>
        </w:rPr>
        <w:t>1 三层证据路径</w:t>
      </w:r>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3043"/>
        <w:gridCol w:w="3043"/>
        <w:gridCol w:w="3043"/>
      </w:tblGrid>
      <w:tr w14:paraId="2CCE9BC0">
        <w:trPr>
          <w:cantSplit/>
          <w:tblHeader/>
          <w:jc w:val="center"/>
        </w:trPr>
        <w:tc>
          <w:tcPr>
            <w:tcW w:w="1531" w:type="dxa"/>
            <w:shd w:val="clear" w:color="auto" w:fill="404040"/>
            <w:tcMar>
              <w:top w:w="120" w:type="dxa"/>
              <w:left w:w="140" w:type="dxa"/>
              <w:bottom w:w="120" w:type="dxa"/>
              <w:right w:w="140" w:type="dxa"/>
            </w:tcMar>
            <w:vAlign w:val="center"/>
          </w:tcPr>
          <w:p w14:paraId="21301762">
            <w:pPr>
              <w:spacing w:after="0" w:line="276" w:lineRule="auto"/>
              <w:jc w:val="center"/>
            </w:pPr>
            <w:r>
              <w:rPr>
                <w:rFonts w:hint="eastAsia" w:ascii="Hiragino Sans GB" w:hAnsi="Hiragino Sans GB" w:eastAsia="Hiragino Sans GB" w:cs="Hiragino Sans GB"/>
                <w:b/>
                <w:color w:val="FFFFFF"/>
                <w:sz w:val="18"/>
              </w:rPr>
              <w:t>层级</w:t>
            </w:r>
          </w:p>
        </w:tc>
        <w:tc>
          <w:tcPr>
            <w:tcW w:w="3543" w:type="dxa"/>
            <w:shd w:val="clear" w:color="auto" w:fill="404040"/>
            <w:tcMar>
              <w:top w:w="120" w:type="dxa"/>
              <w:left w:w="140" w:type="dxa"/>
              <w:bottom w:w="120" w:type="dxa"/>
              <w:right w:w="140" w:type="dxa"/>
            </w:tcMar>
            <w:vAlign w:val="center"/>
          </w:tcPr>
          <w:p w14:paraId="5FFE1A14">
            <w:pPr>
              <w:spacing w:after="0" w:line="276" w:lineRule="auto"/>
              <w:jc w:val="center"/>
            </w:pPr>
            <w:r>
              <w:rPr>
                <w:rFonts w:hint="eastAsia" w:ascii="Hiragino Sans GB" w:hAnsi="Hiragino Sans GB" w:eastAsia="Hiragino Sans GB" w:cs="Hiragino Sans GB"/>
                <w:b/>
                <w:color w:val="FFFFFF"/>
                <w:sz w:val="18"/>
              </w:rPr>
              <w:t>内容</w:t>
            </w:r>
          </w:p>
        </w:tc>
        <w:tc>
          <w:tcPr>
            <w:tcW w:w="3543" w:type="dxa"/>
            <w:shd w:val="clear" w:color="auto" w:fill="404040"/>
            <w:tcMar>
              <w:top w:w="120" w:type="dxa"/>
              <w:left w:w="140" w:type="dxa"/>
              <w:bottom w:w="120" w:type="dxa"/>
              <w:right w:w="140" w:type="dxa"/>
            </w:tcMar>
            <w:vAlign w:val="center"/>
          </w:tcPr>
          <w:p w14:paraId="3D768143">
            <w:pPr>
              <w:spacing w:after="0" w:line="276" w:lineRule="auto"/>
              <w:jc w:val="center"/>
            </w:pPr>
            <w:r>
              <w:rPr>
                <w:rFonts w:hint="eastAsia" w:ascii="Hiragino Sans GB" w:hAnsi="Hiragino Sans GB" w:eastAsia="Hiragino Sans GB" w:cs="Hiragino Sans GB"/>
                <w:b/>
                <w:color w:val="FFFFFF"/>
                <w:sz w:val="18"/>
              </w:rPr>
              <w:t>目标</w:t>
            </w:r>
          </w:p>
        </w:tc>
      </w:tr>
      <w:tr w14:paraId="21684E3D">
        <w:trPr>
          <w:cantSplit/>
          <w:jc w:val="center"/>
        </w:trPr>
        <w:tc>
          <w:tcPr>
            <w:tcW w:w="1531" w:type="dxa"/>
            <w:tcMar>
              <w:top w:w="120" w:type="dxa"/>
              <w:left w:w="140" w:type="dxa"/>
              <w:bottom w:w="120" w:type="dxa"/>
              <w:right w:w="140" w:type="dxa"/>
            </w:tcMar>
            <w:vAlign w:val="center"/>
          </w:tcPr>
          <w:p w14:paraId="615D1C96">
            <w:pPr>
              <w:spacing w:after="0" w:line="276" w:lineRule="auto"/>
              <w:jc w:val="center"/>
            </w:pPr>
            <w:r>
              <w:rPr>
                <w:rFonts w:hint="eastAsia" w:ascii="Songti SC" w:hAnsi="Songti SC" w:eastAsia="Songti SC" w:cs="Songti SC"/>
                <w:b w:val="0"/>
                <w:color w:val="000000"/>
                <w:sz w:val="18"/>
              </w:rPr>
              <w:t>第一层：标准病案</w:t>
            </w:r>
          </w:p>
        </w:tc>
        <w:tc>
          <w:tcPr>
            <w:tcW w:w="3543" w:type="dxa"/>
            <w:tcMar>
              <w:top w:w="120" w:type="dxa"/>
              <w:left w:w="140" w:type="dxa"/>
              <w:bottom w:w="120" w:type="dxa"/>
              <w:right w:w="140" w:type="dxa"/>
            </w:tcMar>
            <w:vAlign w:val="center"/>
          </w:tcPr>
          <w:p w14:paraId="3B0BCD8D">
            <w:pPr>
              <w:spacing w:after="0" w:line="276" w:lineRule="auto"/>
              <w:jc w:val="left"/>
            </w:pPr>
            <w:r>
              <w:rPr>
                <w:rFonts w:hint="eastAsia" w:ascii="Songti SC" w:hAnsi="Songti SC" w:eastAsia="Songti SC" w:cs="Songti SC"/>
                <w:b w:val="0"/>
                <w:color w:val="000000"/>
                <w:sz w:val="18"/>
              </w:rPr>
              <w:t>100例完整病案，含首诊、处方、复诊、疗效、失败分析</w:t>
            </w:r>
          </w:p>
        </w:tc>
        <w:tc>
          <w:tcPr>
            <w:tcW w:w="3543" w:type="dxa"/>
            <w:tcMar>
              <w:top w:w="120" w:type="dxa"/>
              <w:left w:w="140" w:type="dxa"/>
              <w:bottom w:w="120" w:type="dxa"/>
              <w:right w:w="140" w:type="dxa"/>
            </w:tcMar>
            <w:vAlign w:val="center"/>
          </w:tcPr>
          <w:p w14:paraId="0A8C262D">
            <w:pPr>
              <w:spacing w:after="0" w:line="276" w:lineRule="auto"/>
              <w:jc w:val="left"/>
            </w:pPr>
            <w:r>
              <w:rPr>
                <w:rFonts w:hint="eastAsia" w:ascii="Songti SC" w:hAnsi="Songti SC" w:eastAsia="Songti SC" w:cs="Songti SC"/>
                <w:b w:val="0"/>
                <w:color w:val="000000"/>
                <w:sz w:val="18"/>
              </w:rPr>
              <w:t>建立流派临床事实基础</w:t>
            </w:r>
          </w:p>
        </w:tc>
      </w:tr>
      <w:tr w14:paraId="5C74F162">
        <w:trPr>
          <w:cantSplit/>
          <w:jc w:val="center"/>
        </w:trPr>
        <w:tc>
          <w:tcPr>
            <w:tcW w:w="1531" w:type="dxa"/>
            <w:shd w:val="clear" w:color="auto" w:fill="F3F6FA"/>
            <w:tcMar>
              <w:top w:w="120" w:type="dxa"/>
              <w:left w:w="140" w:type="dxa"/>
              <w:bottom w:w="120" w:type="dxa"/>
              <w:right w:w="140" w:type="dxa"/>
            </w:tcMar>
            <w:vAlign w:val="center"/>
          </w:tcPr>
          <w:p w14:paraId="61E478B3">
            <w:pPr>
              <w:spacing w:after="0" w:line="276" w:lineRule="auto"/>
              <w:jc w:val="center"/>
            </w:pPr>
            <w:r>
              <w:rPr>
                <w:rFonts w:hint="eastAsia" w:ascii="Songti SC" w:hAnsi="Songti SC" w:eastAsia="Songti SC" w:cs="Songti SC"/>
                <w:b w:val="0"/>
                <w:color w:val="000000"/>
                <w:sz w:val="18"/>
              </w:rPr>
              <w:t>第二层：优势病种队列</w:t>
            </w:r>
          </w:p>
        </w:tc>
        <w:tc>
          <w:tcPr>
            <w:tcW w:w="3543" w:type="dxa"/>
            <w:shd w:val="clear" w:color="auto" w:fill="F3F6FA"/>
            <w:tcMar>
              <w:top w:w="120" w:type="dxa"/>
              <w:left w:w="140" w:type="dxa"/>
              <w:bottom w:w="120" w:type="dxa"/>
              <w:right w:w="140" w:type="dxa"/>
            </w:tcMar>
            <w:vAlign w:val="center"/>
          </w:tcPr>
          <w:p w14:paraId="21D786F3">
            <w:pPr>
              <w:spacing w:after="0" w:line="276" w:lineRule="auto"/>
              <w:jc w:val="left"/>
            </w:pPr>
            <w:r>
              <w:rPr>
                <w:rFonts w:hint="eastAsia" w:ascii="Songti SC" w:hAnsi="Songti SC" w:eastAsia="Songti SC" w:cs="Songti SC"/>
                <w:b w:val="0"/>
                <w:color w:val="000000"/>
                <w:sz w:val="18"/>
              </w:rPr>
              <w:t>围绕若干优势方向形成连续病例队列</w:t>
            </w:r>
          </w:p>
        </w:tc>
        <w:tc>
          <w:tcPr>
            <w:tcW w:w="3543" w:type="dxa"/>
            <w:shd w:val="clear" w:color="auto" w:fill="F3F6FA"/>
            <w:tcMar>
              <w:top w:w="120" w:type="dxa"/>
              <w:left w:w="140" w:type="dxa"/>
              <w:bottom w:w="120" w:type="dxa"/>
              <w:right w:w="140" w:type="dxa"/>
            </w:tcMar>
            <w:vAlign w:val="center"/>
          </w:tcPr>
          <w:p w14:paraId="44075EE9">
            <w:pPr>
              <w:spacing w:after="0" w:line="276" w:lineRule="auto"/>
              <w:jc w:val="left"/>
            </w:pPr>
            <w:r>
              <w:rPr>
                <w:rFonts w:hint="eastAsia" w:ascii="Songti SC" w:hAnsi="Songti SC" w:eastAsia="Songti SC" w:cs="Songti SC"/>
                <w:b w:val="0"/>
                <w:color w:val="000000"/>
                <w:sz w:val="18"/>
              </w:rPr>
              <w:t>观察适用边界和疗效规律</w:t>
            </w:r>
          </w:p>
        </w:tc>
      </w:tr>
      <w:tr w14:paraId="76347607">
        <w:trPr>
          <w:cantSplit/>
          <w:jc w:val="center"/>
        </w:trPr>
        <w:tc>
          <w:tcPr>
            <w:tcW w:w="1531" w:type="dxa"/>
            <w:tcMar>
              <w:top w:w="120" w:type="dxa"/>
              <w:left w:w="140" w:type="dxa"/>
              <w:bottom w:w="120" w:type="dxa"/>
              <w:right w:w="140" w:type="dxa"/>
            </w:tcMar>
            <w:vAlign w:val="center"/>
          </w:tcPr>
          <w:p w14:paraId="3210FA4B">
            <w:pPr>
              <w:spacing w:after="0" w:line="276" w:lineRule="auto"/>
              <w:jc w:val="center"/>
            </w:pPr>
            <w:r>
              <w:rPr>
                <w:rFonts w:hint="eastAsia" w:ascii="Songti SC" w:hAnsi="Songti SC" w:eastAsia="Songti SC" w:cs="Songti SC"/>
                <w:b w:val="0"/>
                <w:color w:val="000000"/>
                <w:sz w:val="18"/>
              </w:rPr>
              <w:t>第三层：合作研究</w:t>
            </w:r>
          </w:p>
        </w:tc>
        <w:tc>
          <w:tcPr>
            <w:tcW w:w="3543" w:type="dxa"/>
            <w:tcMar>
              <w:top w:w="120" w:type="dxa"/>
              <w:left w:w="140" w:type="dxa"/>
              <w:bottom w:w="120" w:type="dxa"/>
              <w:right w:w="140" w:type="dxa"/>
            </w:tcMar>
            <w:vAlign w:val="center"/>
          </w:tcPr>
          <w:p w14:paraId="703FEE38">
            <w:pPr>
              <w:spacing w:after="0" w:line="276" w:lineRule="auto"/>
              <w:jc w:val="left"/>
            </w:pPr>
            <w:r>
              <w:rPr>
                <w:rFonts w:hint="eastAsia" w:ascii="Songti SC" w:hAnsi="Songti SC" w:eastAsia="Songti SC" w:cs="Songti SC"/>
                <w:b w:val="0"/>
                <w:color w:val="000000"/>
                <w:sz w:val="18"/>
              </w:rPr>
              <w:t>与医院、高校、科研机构合作真实世界研究或前瞻性观察</w:t>
            </w:r>
          </w:p>
        </w:tc>
        <w:tc>
          <w:tcPr>
            <w:tcW w:w="3543" w:type="dxa"/>
            <w:tcMar>
              <w:top w:w="120" w:type="dxa"/>
              <w:left w:w="140" w:type="dxa"/>
              <w:bottom w:w="120" w:type="dxa"/>
              <w:right w:w="140" w:type="dxa"/>
            </w:tcMar>
            <w:vAlign w:val="center"/>
          </w:tcPr>
          <w:p w14:paraId="2B0AB7C3">
            <w:pPr>
              <w:spacing w:after="0" w:line="276" w:lineRule="auto"/>
              <w:jc w:val="left"/>
            </w:pPr>
            <w:r>
              <w:rPr>
                <w:rFonts w:hint="eastAsia" w:ascii="Songti SC" w:hAnsi="Songti SC" w:eastAsia="Songti SC" w:cs="Songti SC"/>
                <w:b w:val="0"/>
                <w:color w:val="000000"/>
                <w:sz w:val="18"/>
              </w:rPr>
              <w:t>形成论文、报告、团体标准和临床路径</w:t>
            </w:r>
          </w:p>
        </w:tc>
      </w:tr>
    </w:tbl>
    <w:p w14:paraId="527098CF">
      <w:pPr>
        <w:spacing w:after="0"/>
      </w:pPr>
    </w:p>
    <w:p w14:paraId="54463EC5">
      <w:pPr>
        <w:pStyle w:val="4"/>
      </w:pPr>
      <w:r>
        <w:rPr>
          <w:rFonts w:hint="eastAsia" w:ascii="Hiragino Sans GB" w:hAnsi="Hiragino Sans GB" w:eastAsia="Hiragino Sans GB" w:cs="Hiragino Sans GB"/>
        </w:rPr>
        <w:t>2 疗效评价原则</w:t>
      </w:r>
    </w:p>
    <w:p w14:paraId="7F120E16">
      <w:pPr>
        <w:ind w:firstLine="420"/>
      </w:pPr>
      <w:r>
        <w:rPr>
          <w:rFonts w:hint="eastAsia" w:ascii="Songti SC" w:hAnsi="Songti SC" w:eastAsia="Songti SC" w:cs="Songti SC"/>
          <w:sz w:val="21"/>
        </w:rPr>
        <w:t>疗效评价应采用可追溯的观察指标，不能仅以“有效”概括。每例病案至少记录以下内容：</w:t>
      </w:r>
    </w:p>
    <w:p w14:paraId="07F007FF">
      <w:pPr>
        <w:spacing w:after="60"/>
        <w:ind w:left="425" w:hanging="312"/>
      </w:pPr>
      <w:r>
        <w:rPr>
          <w:rFonts w:hint="eastAsia" w:ascii="Songti SC" w:hAnsi="Songti SC" w:eastAsia="Songti SC" w:cs="Songti SC"/>
          <w:sz w:val="21"/>
        </w:rPr>
        <w:t>•  主症改善。</w:t>
      </w:r>
    </w:p>
    <w:p w14:paraId="23E4F2CB">
      <w:pPr>
        <w:spacing w:after="60"/>
        <w:ind w:left="425" w:hanging="312"/>
      </w:pPr>
      <w:r>
        <w:rPr>
          <w:rFonts w:hint="eastAsia" w:ascii="Songti SC" w:hAnsi="Songti SC" w:eastAsia="Songti SC" w:cs="Songti SC"/>
          <w:sz w:val="21"/>
        </w:rPr>
        <w:t>•  兼症改善。</w:t>
      </w:r>
    </w:p>
    <w:p w14:paraId="7D347C3B">
      <w:pPr>
        <w:spacing w:after="60"/>
        <w:ind w:left="425" w:hanging="312"/>
      </w:pPr>
      <w:r>
        <w:rPr>
          <w:rFonts w:hint="eastAsia" w:ascii="Songti SC" w:hAnsi="Songti SC" w:eastAsia="Songti SC" w:cs="Songti SC"/>
          <w:sz w:val="21"/>
        </w:rPr>
        <w:t>•  睡眠、饮食、二便。</w:t>
      </w:r>
    </w:p>
    <w:p w14:paraId="310D96A1">
      <w:pPr>
        <w:spacing w:after="60"/>
        <w:ind w:left="425" w:hanging="312"/>
      </w:pPr>
      <w:r>
        <w:rPr>
          <w:rFonts w:hint="eastAsia" w:ascii="Songti SC" w:hAnsi="Songti SC" w:eastAsia="Songti SC" w:cs="Songti SC"/>
          <w:sz w:val="21"/>
        </w:rPr>
        <w:t>•  脉象和外候变化。</w:t>
      </w:r>
    </w:p>
    <w:p w14:paraId="2A8FD54D">
      <w:pPr>
        <w:spacing w:after="60"/>
        <w:ind w:left="425" w:hanging="312"/>
      </w:pPr>
      <w:r>
        <w:rPr>
          <w:rFonts w:hint="eastAsia" w:ascii="Songti SC" w:hAnsi="Songti SC" w:eastAsia="Songti SC" w:cs="Songti SC"/>
          <w:sz w:val="21"/>
        </w:rPr>
        <w:t>•  患者自评。</w:t>
      </w:r>
    </w:p>
    <w:p w14:paraId="06978FFB">
      <w:pPr>
        <w:spacing w:after="60"/>
        <w:ind w:left="425" w:hanging="312"/>
      </w:pPr>
      <w:r>
        <w:rPr>
          <w:rFonts w:hint="eastAsia" w:ascii="Songti SC" w:hAnsi="Songti SC" w:eastAsia="Songti SC" w:cs="Songti SC"/>
          <w:sz w:val="21"/>
        </w:rPr>
        <w:t>•  医师评价。</w:t>
      </w:r>
    </w:p>
    <w:p w14:paraId="117717E6">
      <w:pPr>
        <w:spacing w:after="60"/>
        <w:ind w:left="425" w:hanging="312"/>
      </w:pPr>
      <w:r>
        <w:rPr>
          <w:rFonts w:hint="eastAsia" w:ascii="Songti SC" w:hAnsi="Songti SC" w:eastAsia="Songti SC" w:cs="Songti SC"/>
          <w:sz w:val="21"/>
        </w:rPr>
        <w:t>•  是否复发。</w:t>
      </w:r>
    </w:p>
    <w:p w14:paraId="6124FC34">
      <w:pPr>
        <w:spacing w:after="60"/>
        <w:ind w:left="425" w:hanging="312"/>
      </w:pPr>
      <w:r>
        <w:rPr>
          <w:rFonts w:hint="eastAsia" w:ascii="Songti SC" w:hAnsi="Songti SC" w:eastAsia="Songti SC" w:cs="Songti SC"/>
          <w:sz w:val="21"/>
        </w:rPr>
        <w:t>•  是否不良反应。</w:t>
      </w:r>
    </w:p>
    <w:p w14:paraId="5AB8DAE3">
      <w:pPr>
        <w:spacing w:after="60"/>
        <w:ind w:left="425" w:hanging="312"/>
      </w:pPr>
      <w:r>
        <w:rPr>
          <w:rFonts w:hint="eastAsia" w:ascii="Songti SC" w:hAnsi="Songti SC" w:eastAsia="Songti SC" w:cs="Songti SC"/>
          <w:sz w:val="21"/>
        </w:rPr>
        <w:t>•  是否转诊或失访。</w:t>
      </w:r>
    </w:p>
    <w:p w14:paraId="2C35DE70">
      <w:pPr>
        <w:pStyle w:val="4"/>
      </w:pPr>
      <w:r>
        <w:rPr>
          <w:rFonts w:hint="eastAsia" w:ascii="Hiragino Sans GB" w:hAnsi="Hiragino Sans GB" w:eastAsia="Hiragino Sans GB" w:cs="Hiragino Sans GB"/>
        </w:rPr>
        <w:t>3 失败分析是流派成熟的标志</w:t>
      </w:r>
    </w:p>
    <w:p w14:paraId="4BB37F72">
      <w:pPr>
        <w:ind w:firstLine="420"/>
      </w:pPr>
      <w:r>
        <w:rPr>
          <w:rFonts w:hint="eastAsia" w:ascii="Songti SC" w:hAnsi="Songti SC" w:eastAsia="Songti SC" w:cs="Songti SC"/>
          <w:sz w:val="21"/>
        </w:rPr>
        <w:t>无效、症状加重、反复、失访、误判、禁忌和转诊病例均应纳入失败分析。系统复盘有助于识别适用边界、完善风险控制、避免过度宣传，并提高后续研究的可信度。</w:t>
      </w:r>
    </w:p>
    <w:p w14:paraId="152E154E">
      <w:pPr>
        <w:pStyle w:val="3"/>
      </w:pPr>
      <w:r>
        <w:rPr>
          <w:rFonts w:hint="eastAsia" w:ascii="Hiragino Sans GB" w:hAnsi="Hiragino Sans GB" w:eastAsia="Hiragino Sans GB" w:cs="Hiragino Sans GB"/>
        </w:rPr>
        <w:t>九 产业与平台建设 非遗保护、教育培训与智慧工具协同</w:t>
      </w:r>
    </w:p>
    <w:p w14:paraId="251B5897">
      <w:pPr>
        <w:pStyle w:val="4"/>
      </w:pPr>
      <w:r>
        <w:rPr>
          <w:rFonts w:hint="eastAsia" w:ascii="Hiragino Sans GB" w:hAnsi="Hiragino Sans GB" w:eastAsia="Hiragino Sans GB" w:cs="Hiragino Sans GB"/>
        </w:rPr>
        <w:t>1 非遗数字化保护</w:t>
      </w:r>
    </w:p>
    <w:p w14:paraId="5FC88661">
      <w:pPr>
        <w:ind w:firstLine="420"/>
      </w:pPr>
      <w:r>
        <w:rPr>
          <w:rFonts w:hint="eastAsia" w:ascii="Songti SC" w:hAnsi="Songti SC" w:eastAsia="Songti SC" w:cs="Songti SC"/>
          <w:sz w:val="21"/>
        </w:rPr>
        <w:t>泰山经方作为中医非遗项目，应建立完整数字档案：</w:t>
      </w:r>
    </w:p>
    <w:p w14:paraId="7B37F6ED">
      <w:pPr>
        <w:spacing w:after="60"/>
        <w:ind w:left="425" w:hanging="312"/>
      </w:pPr>
      <w:r>
        <w:rPr>
          <w:rFonts w:hint="eastAsia" w:ascii="Songti SC" w:hAnsi="Songti SC" w:eastAsia="Songti SC" w:cs="Songti SC"/>
          <w:sz w:val="21"/>
        </w:rPr>
        <w:t>•  传承人影像、口述史、讲课录音。</w:t>
      </w:r>
    </w:p>
    <w:p w14:paraId="028A3273">
      <w:pPr>
        <w:spacing w:after="60"/>
        <w:ind w:left="425" w:hanging="312"/>
      </w:pPr>
      <w:r>
        <w:rPr>
          <w:rFonts w:hint="eastAsia" w:ascii="Songti SC" w:hAnsi="Songti SC" w:eastAsia="Songti SC" w:cs="Songti SC"/>
          <w:sz w:val="21"/>
        </w:rPr>
        <w:t>•  诊疗示范、脉诊教学、病案讨论。</w:t>
      </w:r>
    </w:p>
    <w:p w14:paraId="36771FEC">
      <w:pPr>
        <w:spacing w:after="60"/>
        <w:ind w:left="425" w:hanging="312"/>
      </w:pPr>
      <w:r>
        <w:rPr>
          <w:rFonts w:hint="eastAsia" w:ascii="Songti SC" w:hAnsi="Songti SC" w:eastAsia="Songti SC" w:cs="Songti SC"/>
          <w:sz w:val="21"/>
        </w:rPr>
        <w:t>•  古籍依据、方剂表格、推演规则和课程资料。</w:t>
      </w:r>
    </w:p>
    <w:p w14:paraId="6A63BD06">
      <w:pPr>
        <w:spacing w:after="60"/>
        <w:ind w:left="425" w:hanging="312"/>
      </w:pPr>
      <w:r>
        <w:rPr>
          <w:rFonts w:hint="eastAsia" w:ascii="Songti SC" w:hAnsi="Songti SC" w:eastAsia="Songti SC" w:cs="Songti SC"/>
          <w:sz w:val="21"/>
        </w:rPr>
        <w:t>•  软件著作权、项目资质、合作文件。</w:t>
      </w:r>
    </w:p>
    <w:p w14:paraId="7B2F8061">
      <w:pPr>
        <w:spacing w:after="60"/>
        <w:ind w:left="425" w:hanging="312"/>
      </w:pPr>
      <w:r>
        <w:rPr>
          <w:rFonts w:hint="eastAsia" w:ascii="Songti SC" w:hAnsi="Songti SC" w:eastAsia="Songti SC" w:cs="Songti SC"/>
          <w:sz w:val="21"/>
        </w:rPr>
        <w:t>•  标准病案和疗效反馈。</w:t>
      </w:r>
    </w:p>
    <w:p w14:paraId="776B15AF">
      <w:pPr>
        <w:ind w:firstLine="420"/>
      </w:pPr>
      <w:r>
        <w:rPr>
          <w:rFonts w:hint="eastAsia" w:ascii="Songti SC" w:hAnsi="Songti SC" w:eastAsia="Songti SC" w:cs="Songti SC"/>
          <w:sz w:val="21"/>
        </w:rPr>
        <w:t>非遗数字化保护应兼顾保存、利用与风险控制。在保护知识产权和患者隐私的前提下，建立可用于传承、教学、研究和规范传播的分级档案。</w:t>
      </w:r>
    </w:p>
    <w:p w14:paraId="5BC66E5F">
      <w:pPr>
        <w:pStyle w:val="4"/>
      </w:pPr>
      <w:r>
        <w:rPr>
          <w:rFonts w:hint="eastAsia" w:ascii="Hiragino Sans GB" w:hAnsi="Hiragino Sans GB" w:eastAsia="Hiragino Sans GB" w:cs="Hiragino Sans GB"/>
        </w:rPr>
        <w:t>2 教育培训体系</w:t>
      </w:r>
    </w:p>
    <w:p w14:paraId="17DF2491">
      <w:pPr>
        <w:ind w:firstLine="420"/>
      </w:pPr>
      <w:r>
        <w:rPr>
          <w:rFonts w:hint="eastAsia" w:ascii="Songti SC" w:hAnsi="Songti SC" w:eastAsia="Songti SC" w:cs="Songti SC"/>
          <w:sz w:val="21"/>
        </w:rPr>
        <w:t>建议建立五级传承培养：</w:t>
      </w:r>
    </w:p>
    <w:p w14:paraId="0F8FBD0C">
      <w:pPr>
        <w:spacing w:after="60"/>
        <w:ind w:left="425" w:hanging="312"/>
      </w:pPr>
      <w:r>
        <w:rPr>
          <w:rFonts w:hint="eastAsia" w:ascii="Songti SC" w:hAnsi="Songti SC" w:eastAsia="Songti SC" w:cs="Songti SC"/>
          <w:sz w:val="21"/>
        </w:rPr>
        <w:t>•  入门：学习流派概论、经典基础、病案规范。</w:t>
      </w:r>
    </w:p>
    <w:p w14:paraId="7CDC25BC">
      <w:pPr>
        <w:spacing w:after="60"/>
        <w:ind w:left="425" w:hanging="312"/>
      </w:pPr>
      <w:r>
        <w:rPr>
          <w:rFonts w:hint="eastAsia" w:ascii="Songti SC" w:hAnsi="Songti SC" w:eastAsia="Songti SC" w:cs="Songti SC"/>
          <w:sz w:val="21"/>
        </w:rPr>
        <w:t>•  进阶：学习五运六气、难经五诊、脉诊、类证树。</w:t>
      </w:r>
    </w:p>
    <w:p w14:paraId="43CAF50D">
      <w:pPr>
        <w:spacing w:after="60"/>
        <w:ind w:left="425" w:hanging="312"/>
      </w:pPr>
      <w:r>
        <w:rPr>
          <w:rFonts w:hint="eastAsia" w:ascii="Songti SC" w:hAnsi="Songti SC" w:eastAsia="Songti SC" w:cs="Songti SC"/>
          <w:sz w:val="21"/>
        </w:rPr>
        <w:t>•  临床：跟诊、病案书写、复诊分析、方证讨论。</w:t>
      </w:r>
    </w:p>
    <w:p w14:paraId="7E36EDC8">
      <w:pPr>
        <w:spacing w:after="60"/>
        <w:ind w:left="425" w:hanging="312"/>
      </w:pPr>
      <w:r>
        <w:rPr>
          <w:rFonts w:hint="eastAsia" w:ascii="Songti SC" w:hAnsi="Songti SC" w:eastAsia="Songti SC" w:cs="Songti SC"/>
          <w:sz w:val="21"/>
        </w:rPr>
        <w:t>•  师承：疑难病案、用方进退、失败复盘、学术表达。</w:t>
      </w:r>
    </w:p>
    <w:p w14:paraId="5DCC23E3">
      <w:pPr>
        <w:spacing w:after="60"/>
        <w:ind w:left="425" w:hanging="312"/>
      </w:pPr>
      <w:r>
        <w:rPr>
          <w:rFonts w:hint="eastAsia" w:ascii="Songti SC" w:hAnsi="Songti SC" w:eastAsia="Songti SC" w:cs="Songti SC"/>
          <w:sz w:val="21"/>
        </w:rPr>
        <w:t>•  讲师：承担课程、审核病案、标准推广和区域传承。</w:t>
      </w:r>
    </w:p>
    <w:p w14:paraId="1A71ED8A">
      <w:pPr>
        <w:ind w:firstLine="420"/>
      </w:pPr>
      <w:r>
        <w:rPr>
          <w:rFonts w:hint="eastAsia" w:ascii="Songti SC" w:hAnsi="Songti SC" w:eastAsia="Songti SC" w:cs="Songti SC"/>
          <w:sz w:val="21"/>
        </w:rPr>
        <w:t>培训评价应综合考察病案质量、诊法掌握、辨证准确性、处方安全性、复诊复盘能力和医德医风，不宜仅以听课时长作为依据。</w:t>
      </w:r>
    </w:p>
    <w:p w14:paraId="1B55862F">
      <w:pPr>
        <w:pStyle w:val="4"/>
      </w:pPr>
      <w:r>
        <w:rPr>
          <w:rFonts w:hint="eastAsia" w:ascii="Hiragino Sans GB" w:hAnsi="Hiragino Sans GB" w:eastAsia="Hiragino Sans GB" w:cs="Hiragino Sans GB"/>
        </w:rPr>
        <w:t>3 软件与智能辅助</w:t>
      </w:r>
    </w:p>
    <w:p w14:paraId="7EBA1DD2">
      <w:pPr>
        <w:ind w:firstLine="420"/>
      </w:pPr>
      <w:r>
        <w:rPr>
          <w:rFonts w:hint="eastAsia" w:ascii="Songti SC" w:hAnsi="Songti SC" w:eastAsia="Songti SC" w:cs="Songti SC"/>
          <w:sz w:val="21"/>
        </w:rPr>
        <w:t>泰山经方软件建设应坚持“医师辅助系统”定位。功能可以包括：</w:t>
      </w:r>
    </w:p>
    <w:p w14:paraId="77B7B014">
      <w:pPr>
        <w:spacing w:after="60"/>
        <w:ind w:left="425" w:hanging="312"/>
      </w:pPr>
      <w:r>
        <w:rPr>
          <w:rFonts w:hint="eastAsia" w:ascii="Songti SC" w:hAnsi="Songti SC" w:eastAsia="Songti SC" w:cs="Songti SC"/>
          <w:sz w:val="21"/>
        </w:rPr>
        <w:t>•  患者注册、出生日期和性别采集。</w:t>
      </w:r>
    </w:p>
    <w:p w14:paraId="6306AA5D">
      <w:pPr>
        <w:spacing w:after="60"/>
        <w:ind w:left="425" w:hanging="312"/>
      </w:pPr>
      <w:r>
        <w:rPr>
          <w:rFonts w:hint="eastAsia" w:ascii="Songti SC" w:hAnsi="Songti SC" w:eastAsia="Songti SC" w:cs="Songti SC"/>
          <w:sz w:val="21"/>
        </w:rPr>
        <w:t>•  年龄、属相、出生年地支自动关联。</w:t>
      </w:r>
    </w:p>
    <w:p w14:paraId="170FB89D">
      <w:pPr>
        <w:spacing w:after="60"/>
        <w:ind w:left="425" w:hanging="312"/>
      </w:pPr>
      <w:r>
        <w:rPr>
          <w:rFonts w:hint="eastAsia" w:ascii="Songti SC" w:hAnsi="Songti SC" w:eastAsia="Songti SC" w:cs="Songti SC"/>
          <w:sz w:val="21"/>
        </w:rPr>
        <w:t>•  发病日期自动推导当日干支。</w:t>
      </w:r>
    </w:p>
    <w:p w14:paraId="3E6C0305">
      <w:pPr>
        <w:spacing w:after="60"/>
        <w:ind w:left="425" w:hanging="312"/>
      </w:pPr>
      <w:r>
        <w:rPr>
          <w:rFonts w:hint="eastAsia" w:ascii="Songti SC" w:hAnsi="Songti SC" w:eastAsia="Songti SC" w:cs="Songti SC"/>
          <w:sz w:val="21"/>
        </w:rPr>
        <w:t>•  伤寒类证树形选择。</w:t>
      </w:r>
    </w:p>
    <w:p w14:paraId="1ACE343A">
      <w:pPr>
        <w:spacing w:after="60"/>
        <w:ind w:left="425" w:hanging="312"/>
      </w:pPr>
      <w:r>
        <w:rPr>
          <w:rFonts w:hint="eastAsia" w:ascii="Songti SC" w:hAnsi="Songti SC" w:eastAsia="Songti SC" w:cs="Songti SC"/>
          <w:sz w:val="21"/>
        </w:rPr>
        <w:t>•  五诊、脉诊、运气推演、方症评分结构化录入。</w:t>
      </w:r>
    </w:p>
    <w:p w14:paraId="3C030653">
      <w:pPr>
        <w:spacing w:after="60"/>
        <w:ind w:left="425" w:hanging="312"/>
      </w:pPr>
      <w:r>
        <w:rPr>
          <w:rFonts w:hint="eastAsia" w:ascii="Songti SC" w:hAnsi="Songti SC" w:eastAsia="Songti SC" w:cs="Songti SC"/>
          <w:sz w:val="21"/>
        </w:rPr>
        <w:t>•  汇总合参分析。</w:t>
      </w:r>
    </w:p>
    <w:p w14:paraId="39BB3637">
      <w:pPr>
        <w:spacing w:after="60"/>
        <w:ind w:left="425" w:hanging="312"/>
      </w:pPr>
      <w:r>
        <w:rPr>
          <w:rFonts w:hint="eastAsia" w:ascii="Songti SC" w:hAnsi="Songti SC" w:eastAsia="Songti SC" w:cs="Songti SC"/>
          <w:sz w:val="21"/>
        </w:rPr>
        <w:t>•  先天体质报告、每日经络疏通建议和食疗建议。</w:t>
      </w:r>
    </w:p>
    <w:p w14:paraId="56909271">
      <w:pPr>
        <w:spacing w:after="60"/>
        <w:ind w:left="425" w:hanging="312"/>
      </w:pPr>
      <w:r>
        <w:rPr>
          <w:rFonts w:hint="eastAsia" w:ascii="Songti SC" w:hAnsi="Songti SC" w:eastAsia="Songti SC" w:cs="Songti SC"/>
          <w:sz w:val="21"/>
        </w:rPr>
        <w:t>•  标准病案生成、复诊随访和疗效评价。</w:t>
      </w:r>
    </w:p>
    <w:p w14:paraId="3D4B41B0">
      <w:pPr>
        <w:spacing w:after="60"/>
        <w:ind w:left="425" w:hanging="312"/>
      </w:pPr>
      <w:r>
        <w:rPr>
          <w:rFonts w:hint="eastAsia" w:ascii="Songti SC" w:hAnsi="Songti SC" w:eastAsia="Songti SC" w:cs="Songti SC"/>
          <w:sz w:val="21"/>
        </w:rPr>
        <w:t>•  数据脱敏、权限分级、本地备份和审计。</w:t>
      </w:r>
    </w:p>
    <w:p w14:paraId="4B07E2F4">
      <w:pPr>
        <w:ind w:firstLine="420"/>
      </w:pPr>
      <w:r>
        <w:rPr>
          <w:rFonts w:hint="eastAsia" w:ascii="Songti SC" w:hAnsi="Songti SC" w:eastAsia="Songti SC" w:cs="Songti SC"/>
          <w:sz w:val="21"/>
        </w:rPr>
        <w:t>软件不得直接面向患者自动诊断、自动开方，也不得把研究中、暂无或不可对外使用的方剂作为确定方案推送。</w:t>
      </w:r>
    </w:p>
    <w:p w14:paraId="6010BE90">
      <w:pPr>
        <w:pStyle w:val="3"/>
      </w:pPr>
      <w:r>
        <w:rPr>
          <w:rFonts w:hint="eastAsia" w:ascii="Hiragino Sans GB" w:hAnsi="Hiragino Sans GB" w:eastAsia="Hiragino Sans GB" w:cs="Hiragino Sans GB"/>
        </w:rPr>
        <w:t>十 国际视野 让中国经方以标准、证据与人文走向世界</w:t>
      </w:r>
    </w:p>
    <w:p w14:paraId="7B1AE423">
      <w:pPr>
        <w:pStyle w:val="4"/>
      </w:pPr>
      <w:r>
        <w:rPr>
          <w:rFonts w:hint="eastAsia" w:ascii="Hiragino Sans GB" w:hAnsi="Hiragino Sans GB" w:eastAsia="Hiragino Sans GB" w:cs="Hiragino Sans GB"/>
        </w:rPr>
        <w:t>1 国际表达的三重转换</w:t>
      </w:r>
    </w:p>
    <w:p w14:paraId="020FFC07">
      <w:pPr>
        <w:ind w:firstLine="420"/>
      </w:pPr>
      <w:r>
        <w:rPr>
          <w:rFonts w:hint="eastAsia" w:ascii="Songti SC" w:hAnsi="Songti SC" w:eastAsia="Songti SC" w:cs="Songti SC"/>
          <w:sz w:val="21"/>
        </w:rPr>
        <w:t>泰山经方标准化诊疗法要走向国际，需要完成三重转换：</w:t>
      </w:r>
    </w:p>
    <w:p w14:paraId="4775329D">
      <w:pPr>
        <w:spacing w:after="60"/>
        <w:ind w:left="425" w:hanging="312"/>
      </w:pPr>
      <w:r>
        <w:rPr>
          <w:rFonts w:hint="eastAsia" w:ascii="Songti SC" w:hAnsi="Songti SC" w:eastAsia="Songti SC" w:cs="Songti SC"/>
          <w:sz w:val="21"/>
        </w:rPr>
        <w:t>•  理论语言转换：把天人相应、干支象数、五诊脉诊解释为时空变量、体征采集、症候模式和个体化诊疗逻辑。</w:t>
      </w:r>
    </w:p>
    <w:p w14:paraId="6B275728">
      <w:pPr>
        <w:spacing w:after="60"/>
        <w:ind w:left="425" w:hanging="312"/>
      </w:pPr>
      <w:r>
        <w:rPr>
          <w:rFonts w:hint="eastAsia" w:ascii="Songti SC" w:hAnsi="Songti SC" w:eastAsia="Songti SC" w:cs="Songti SC"/>
          <w:sz w:val="21"/>
        </w:rPr>
        <w:t>•  临床语言转换：把经方方证转化为病例路径、症状组合、风险边界和复诊结果。</w:t>
      </w:r>
    </w:p>
    <w:p w14:paraId="025629A2">
      <w:pPr>
        <w:spacing w:after="60"/>
        <w:ind w:left="425" w:hanging="312"/>
      </w:pPr>
      <w:r>
        <w:rPr>
          <w:rFonts w:hint="eastAsia" w:ascii="Songti SC" w:hAnsi="Songti SC" w:eastAsia="Songti SC" w:cs="Songti SC"/>
          <w:sz w:val="21"/>
        </w:rPr>
        <w:t>•  证据语言转换：把个案经验转化为真实世界数据、队列观察、疗效指标和安全性记录。</w:t>
      </w:r>
    </w:p>
    <w:p w14:paraId="7EA29BC4">
      <w:pPr>
        <w:pStyle w:val="4"/>
      </w:pPr>
      <w:r>
        <w:rPr>
          <w:rFonts w:hint="eastAsia" w:ascii="Hiragino Sans GB" w:hAnsi="Hiragino Sans GB" w:eastAsia="Hiragino Sans GB" w:cs="Hiragino Sans GB"/>
        </w:rPr>
        <w:t>2 国际合作方向</w:t>
      </w:r>
    </w:p>
    <w:p w14:paraId="47B5BCA2">
      <w:pPr>
        <w:ind w:firstLine="420"/>
      </w:pPr>
      <w:r>
        <w:rPr>
          <w:rFonts w:hint="eastAsia" w:ascii="Songti SC" w:hAnsi="Songti SC" w:eastAsia="Songti SC" w:cs="Songti SC"/>
          <w:sz w:val="21"/>
        </w:rPr>
        <w:t>可逐步探索：</w:t>
      </w:r>
    </w:p>
    <w:p w14:paraId="73A1DCE2">
      <w:pPr>
        <w:spacing w:after="60"/>
        <w:ind w:left="425" w:hanging="312"/>
      </w:pPr>
      <w:r>
        <w:rPr>
          <w:rFonts w:hint="eastAsia" w:ascii="Songti SC" w:hAnsi="Songti SC" w:eastAsia="Songti SC" w:cs="Songti SC"/>
          <w:sz w:val="21"/>
        </w:rPr>
        <w:t>•  中英双语术语库。</w:t>
      </w:r>
    </w:p>
    <w:p w14:paraId="66E444B6">
      <w:pPr>
        <w:spacing w:after="60"/>
        <w:ind w:left="425" w:hanging="312"/>
      </w:pPr>
      <w:r>
        <w:rPr>
          <w:rFonts w:hint="eastAsia" w:ascii="Songti SC" w:hAnsi="Songti SC" w:eastAsia="Songti SC" w:cs="Songti SC"/>
          <w:sz w:val="21"/>
        </w:rPr>
        <w:t>•  脱敏标准病案集。</w:t>
      </w:r>
    </w:p>
    <w:p w14:paraId="11EED601">
      <w:pPr>
        <w:spacing w:after="60"/>
        <w:ind w:left="425" w:hanging="312"/>
      </w:pPr>
      <w:r>
        <w:rPr>
          <w:rFonts w:hint="eastAsia" w:ascii="Songti SC" w:hAnsi="Songti SC" w:eastAsia="Songti SC" w:cs="Songti SC"/>
          <w:sz w:val="21"/>
        </w:rPr>
        <w:t>•  经方方证国际教学课程。</w:t>
      </w:r>
    </w:p>
    <w:p w14:paraId="292DE8C4">
      <w:pPr>
        <w:spacing w:after="60"/>
        <w:ind w:left="425" w:hanging="312"/>
      </w:pPr>
      <w:r>
        <w:rPr>
          <w:rFonts w:hint="eastAsia" w:ascii="Songti SC" w:hAnsi="Songti SC" w:eastAsia="Songti SC" w:cs="Songti SC"/>
          <w:sz w:val="21"/>
        </w:rPr>
        <w:t>•  与海外中医机构开展真实世界病例观察。</w:t>
      </w:r>
    </w:p>
    <w:p w14:paraId="33BA17BF">
      <w:pPr>
        <w:spacing w:after="60"/>
        <w:ind w:left="425" w:hanging="312"/>
      </w:pPr>
      <w:r>
        <w:rPr>
          <w:rFonts w:hint="eastAsia" w:ascii="Songti SC" w:hAnsi="Songti SC" w:eastAsia="Songti SC" w:cs="Songti SC"/>
          <w:sz w:val="21"/>
        </w:rPr>
        <w:t>•  传统医学数字健康与AI辅助研究。</w:t>
      </w:r>
    </w:p>
    <w:p w14:paraId="1A8DFD48">
      <w:pPr>
        <w:spacing w:after="60"/>
        <w:ind w:left="425" w:hanging="312"/>
      </w:pPr>
      <w:r>
        <w:rPr>
          <w:rFonts w:hint="eastAsia" w:ascii="Songti SC" w:hAnsi="Songti SC" w:eastAsia="Songti SC" w:cs="Songti SC"/>
          <w:sz w:val="21"/>
        </w:rPr>
        <w:t>•  传统医药数据治理、知识产权和伦理合规交流。</w:t>
      </w:r>
    </w:p>
    <w:p w14:paraId="719B4661">
      <w:pPr>
        <w:ind w:firstLine="420"/>
      </w:pPr>
      <w:r>
        <w:rPr>
          <w:rFonts w:hint="eastAsia" w:ascii="Songti SC" w:hAnsi="Songti SC" w:eastAsia="Songti SC" w:cs="Songti SC"/>
          <w:sz w:val="21"/>
        </w:rPr>
        <w:t>国际交流应保持中医理论的主体性，同时采用便于跨文化理解、专业审查与研究合作的术语、数据和方法说明。</w:t>
      </w:r>
    </w:p>
    <w:p w14:paraId="48F9CBF0">
      <w:pPr>
        <w:pStyle w:val="3"/>
      </w:pPr>
      <w:r>
        <w:rPr>
          <w:rFonts w:hint="eastAsia" w:ascii="Hiragino Sans GB" w:hAnsi="Hiragino Sans GB" w:eastAsia="Hiragino Sans GB" w:cs="Hiragino Sans GB"/>
        </w:rPr>
        <w:t>十一 合规、伦理与风险治理</w:t>
      </w:r>
    </w:p>
    <w:p w14:paraId="6429DA01">
      <w:pPr>
        <w:pStyle w:val="4"/>
      </w:pPr>
      <w:r>
        <w:rPr>
          <w:rFonts w:hint="eastAsia" w:ascii="Hiragino Sans GB" w:hAnsi="Hiragino Sans GB" w:eastAsia="Hiragino Sans GB" w:cs="Hiragino Sans GB"/>
        </w:rPr>
        <w:t>1 医疗合规</w:t>
      </w:r>
    </w:p>
    <w:p w14:paraId="184A9373">
      <w:pPr>
        <w:spacing w:after="60"/>
        <w:ind w:left="425" w:hanging="312"/>
      </w:pPr>
      <w:r>
        <w:rPr>
          <w:rFonts w:hint="eastAsia" w:ascii="Songti SC" w:hAnsi="Songti SC" w:eastAsia="Songti SC" w:cs="Songti SC"/>
          <w:sz w:val="21"/>
        </w:rPr>
        <w:t>•  诊疗活动必须由具备资质的医师在执业范围内完成。</w:t>
      </w:r>
    </w:p>
    <w:p w14:paraId="1E3F8AD3">
      <w:pPr>
        <w:spacing w:after="60"/>
        <w:ind w:left="425" w:hanging="312"/>
      </w:pPr>
      <w:r>
        <w:rPr>
          <w:rFonts w:hint="eastAsia" w:ascii="Songti SC" w:hAnsi="Songti SC" w:eastAsia="Songti SC" w:cs="Songti SC"/>
          <w:sz w:val="21"/>
        </w:rPr>
        <w:t>•  网络工具和AI输出不得替代医师诊断和处方。</w:t>
      </w:r>
    </w:p>
    <w:p w14:paraId="474F564E">
      <w:pPr>
        <w:spacing w:after="60"/>
        <w:ind w:left="425" w:hanging="312"/>
      </w:pPr>
      <w:r>
        <w:rPr>
          <w:rFonts w:hint="eastAsia" w:ascii="Songti SC" w:hAnsi="Songti SC" w:eastAsia="Songti SC" w:cs="Songti SC"/>
          <w:sz w:val="21"/>
        </w:rPr>
        <w:t>•  疑难、危重、急症和诊断不明者必须建议检查、会诊或转诊。</w:t>
      </w:r>
    </w:p>
    <w:p w14:paraId="3AF10FEE">
      <w:pPr>
        <w:spacing w:after="60"/>
        <w:ind w:left="425" w:hanging="312"/>
      </w:pPr>
      <w:r>
        <w:rPr>
          <w:rFonts w:hint="eastAsia" w:ascii="Songti SC" w:hAnsi="Songti SC" w:eastAsia="Songti SC" w:cs="Songti SC"/>
          <w:sz w:val="21"/>
        </w:rPr>
        <w:t>•  处方必须记录禁忌、注意事项、不良反应告知和复诊安排。</w:t>
      </w:r>
    </w:p>
    <w:p w14:paraId="5699B2B5">
      <w:pPr>
        <w:pStyle w:val="4"/>
      </w:pPr>
      <w:r>
        <w:rPr>
          <w:rFonts w:hint="eastAsia" w:ascii="Hiragino Sans GB" w:hAnsi="Hiragino Sans GB" w:eastAsia="Hiragino Sans GB" w:cs="Hiragino Sans GB"/>
        </w:rPr>
        <w:t>2 数据合规</w:t>
      </w:r>
    </w:p>
    <w:p w14:paraId="69B671EF">
      <w:pPr>
        <w:spacing w:after="60"/>
        <w:ind w:left="425" w:hanging="312"/>
      </w:pPr>
      <w:r>
        <w:rPr>
          <w:rFonts w:hint="eastAsia" w:ascii="Songti SC" w:hAnsi="Songti SC" w:eastAsia="Songti SC" w:cs="Songti SC"/>
          <w:sz w:val="21"/>
        </w:rPr>
        <w:t>•  患者数据分类分级管理。</w:t>
      </w:r>
    </w:p>
    <w:p w14:paraId="011C7363">
      <w:pPr>
        <w:spacing w:after="60"/>
        <w:ind w:left="425" w:hanging="312"/>
      </w:pPr>
      <w:r>
        <w:rPr>
          <w:rFonts w:hint="eastAsia" w:ascii="Songti SC" w:hAnsi="Songti SC" w:eastAsia="Songti SC" w:cs="Songti SC"/>
          <w:sz w:val="21"/>
        </w:rPr>
        <w:t>•  原始病案、聊天截图、处方剂量、内部规则默认不公开。</w:t>
      </w:r>
    </w:p>
    <w:p w14:paraId="6E9087EC">
      <w:pPr>
        <w:spacing w:after="60"/>
        <w:ind w:left="425" w:hanging="312"/>
      </w:pPr>
      <w:r>
        <w:rPr>
          <w:rFonts w:hint="eastAsia" w:ascii="Songti SC" w:hAnsi="Songti SC" w:eastAsia="Songti SC" w:cs="Songti SC"/>
          <w:sz w:val="21"/>
        </w:rPr>
        <w:t>•  对外使用必须脱敏、授权、复核。</w:t>
      </w:r>
    </w:p>
    <w:p w14:paraId="2425E098">
      <w:pPr>
        <w:spacing w:after="60"/>
        <w:ind w:left="425" w:hanging="312"/>
      </w:pPr>
      <w:r>
        <w:rPr>
          <w:rFonts w:hint="eastAsia" w:ascii="Songti SC" w:hAnsi="Songti SC" w:eastAsia="Songti SC" w:cs="Songti SC"/>
          <w:sz w:val="21"/>
        </w:rPr>
        <w:t>•  建立本地备份和权限控制。</w:t>
      </w:r>
    </w:p>
    <w:p w14:paraId="02408CD5">
      <w:pPr>
        <w:spacing w:after="60"/>
        <w:ind w:left="425" w:hanging="312"/>
      </w:pPr>
      <w:r>
        <w:rPr>
          <w:rFonts w:hint="eastAsia" w:ascii="Songti SC" w:hAnsi="Songti SC" w:eastAsia="Songti SC" w:cs="Songti SC"/>
          <w:sz w:val="21"/>
        </w:rPr>
        <w:t>•  后续若开展联网服务，必须另行建立数据安全、网络安全和个人信息保护制度。</w:t>
      </w:r>
    </w:p>
    <w:p w14:paraId="0C25340A">
      <w:pPr>
        <w:pStyle w:val="4"/>
      </w:pPr>
      <w:r>
        <w:rPr>
          <w:rFonts w:hint="eastAsia" w:ascii="Hiragino Sans GB" w:hAnsi="Hiragino Sans GB" w:eastAsia="Hiragino Sans GB" w:cs="Hiragino Sans GB"/>
        </w:rPr>
        <w:t>3 学术伦理</w:t>
      </w:r>
    </w:p>
    <w:p w14:paraId="7F2AD4FF">
      <w:pPr>
        <w:spacing w:after="60"/>
        <w:ind w:left="425" w:hanging="312"/>
      </w:pPr>
      <w:r>
        <w:rPr>
          <w:rFonts w:hint="eastAsia" w:ascii="Songti SC" w:hAnsi="Songti SC" w:eastAsia="Songti SC" w:cs="Songti SC"/>
          <w:sz w:val="21"/>
        </w:rPr>
        <w:t>•  不夸大疗效。</w:t>
      </w:r>
    </w:p>
    <w:p w14:paraId="4AC3597A">
      <w:pPr>
        <w:spacing w:after="60"/>
        <w:ind w:left="425" w:hanging="312"/>
      </w:pPr>
      <w:r>
        <w:rPr>
          <w:rFonts w:hint="eastAsia" w:ascii="Songti SC" w:hAnsi="Songti SC" w:eastAsia="Songti SC" w:cs="Songti SC"/>
          <w:sz w:val="21"/>
        </w:rPr>
        <w:t>•  不以个案代替普遍结论。</w:t>
      </w:r>
    </w:p>
    <w:p w14:paraId="2567F854">
      <w:pPr>
        <w:spacing w:after="60"/>
        <w:ind w:left="425" w:hanging="312"/>
      </w:pPr>
      <w:r>
        <w:rPr>
          <w:rFonts w:hint="eastAsia" w:ascii="Songti SC" w:hAnsi="Songti SC" w:eastAsia="Songti SC" w:cs="Songti SC"/>
          <w:sz w:val="21"/>
        </w:rPr>
        <w:t>•  不以软件替代临床责任。</w:t>
      </w:r>
    </w:p>
    <w:p w14:paraId="3597FD78">
      <w:pPr>
        <w:spacing w:after="60"/>
        <w:ind w:left="425" w:hanging="312"/>
      </w:pPr>
      <w:r>
        <w:rPr>
          <w:rFonts w:hint="eastAsia" w:ascii="Songti SC" w:hAnsi="Songti SC" w:eastAsia="Songti SC" w:cs="Songti SC"/>
          <w:sz w:val="21"/>
        </w:rPr>
        <w:t>•  不将未验证内容包装成成熟疗法。</w:t>
      </w:r>
    </w:p>
    <w:p w14:paraId="3A59C85E">
      <w:pPr>
        <w:spacing w:after="60"/>
        <w:ind w:left="425" w:hanging="312"/>
      </w:pPr>
      <w:r>
        <w:rPr>
          <w:rFonts w:hint="eastAsia" w:ascii="Songti SC" w:hAnsi="Songti SC" w:eastAsia="Songti SC" w:cs="Songti SC"/>
          <w:sz w:val="21"/>
        </w:rPr>
        <w:t>•  不把患者痛苦当作营销素材。</w:t>
      </w:r>
    </w:p>
    <w:p w14:paraId="4B935C9E">
      <w:pPr>
        <w:pStyle w:val="3"/>
      </w:pPr>
      <w:r>
        <w:rPr>
          <w:rFonts w:hint="eastAsia" w:ascii="Hiragino Sans GB" w:hAnsi="Hiragino Sans GB" w:eastAsia="Hiragino Sans GB" w:cs="Hiragino Sans GB"/>
        </w:rPr>
        <w:t>十二 发展路线图</w:t>
      </w:r>
    </w:p>
    <w:p w14:paraId="35F092FF">
      <w:pPr>
        <w:pStyle w:val="4"/>
      </w:pPr>
      <w:r>
        <w:rPr>
          <w:rFonts w:hint="eastAsia" w:ascii="Hiragino Sans GB" w:hAnsi="Hiragino Sans GB" w:eastAsia="Hiragino Sans GB" w:cs="Hiragino Sans GB"/>
        </w:rPr>
        <w:t>第一阶段 打基础 建标准</w:t>
      </w:r>
    </w:p>
    <w:p w14:paraId="5DFED05B">
      <w:pPr>
        <w:ind w:firstLine="420"/>
      </w:pPr>
      <w:r>
        <w:rPr>
          <w:rFonts w:hint="eastAsia" w:ascii="Songti SC" w:hAnsi="Songti SC" w:eastAsia="Songti SC" w:cs="Songti SC"/>
          <w:sz w:val="21"/>
        </w:rPr>
        <w:t>时间建议：0—6个月。</w:t>
      </w:r>
    </w:p>
    <w:p w14:paraId="59794F4E">
      <w:pPr>
        <w:ind w:firstLine="420"/>
      </w:pPr>
      <w:r>
        <w:rPr>
          <w:rFonts w:hint="eastAsia" w:ascii="Songti SC" w:hAnsi="Songti SC" w:eastAsia="Songti SC" w:cs="Songti SC"/>
          <w:sz w:val="21"/>
        </w:rPr>
        <w:t>重点任务：</w:t>
      </w:r>
    </w:p>
    <w:p w14:paraId="0229F9A3">
      <w:pPr>
        <w:spacing w:after="60"/>
        <w:ind w:left="425" w:hanging="312"/>
      </w:pPr>
      <w:r>
        <w:rPr>
          <w:rFonts w:hint="eastAsia" w:ascii="Songti SC" w:hAnsi="Songti SC" w:eastAsia="Songti SC" w:cs="Songti SC"/>
          <w:sz w:val="21"/>
        </w:rPr>
        <w:t>•  完成知识库整理。</w:t>
      </w:r>
    </w:p>
    <w:p w14:paraId="330F50F0">
      <w:pPr>
        <w:spacing w:after="60"/>
        <w:ind w:left="425" w:hanging="312"/>
      </w:pPr>
      <w:r>
        <w:rPr>
          <w:rFonts w:hint="eastAsia" w:ascii="Songti SC" w:hAnsi="Songti SC" w:eastAsia="Songti SC" w:cs="Songti SC"/>
          <w:sz w:val="21"/>
        </w:rPr>
        <w:t>•  完成 100例标准病案库初始录入。</w:t>
      </w:r>
    </w:p>
    <w:p w14:paraId="7D48B7B3">
      <w:pPr>
        <w:spacing w:after="60"/>
        <w:ind w:left="425" w:hanging="312"/>
      </w:pPr>
      <w:r>
        <w:rPr>
          <w:rFonts w:hint="eastAsia" w:ascii="Songti SC" w:hAnsi="Songti SC" w:eastAsia="Songti SC" w:cs="Songti SC"/>
          <w:sz w:val="21"/>
        </w:rPr>
        <w:t>•  完成临床操作规范、病案模板、术语库。</w:t>
      </w:r>
    </w:p>
    <w:p w14:paraId="6C5693DC">
      <w:pPr>
        <w:spacing w:after="60"/>
        <w:ind w:left="425" w:hanging="312"/>
      </w:pPr>
      <w:r>
        <w:rPr>
          <w:rFonts w:hint="eastAsia" w:ascii="Songti SC" w:hAnsi="Songti SC" w:eastAsia="Songti SC" w:cs="Songti SC"/>
          <w:sz w:val="21"/>
        </w:rPr>
        <w:t>•  完成本地软件 MVP。</w:t>
      </w:r>
    </w:p>
    <w:p w14:paraId="7045C60E">
      <w:pPr>
        <w:spacing w:after="60"/>
        <w:ind w:left="425" w:hanging="312"/>
      </w:pPr>
      <w:r>
        <w:rPr>
          <w:rFonts w:hint="eastAsia" w:ascii="Songti SC" w:hAnsi="Songti SC" w:eastAsia="Songti SC" w:cs="Songti SC"/>
          <w:sz w:val="21"/>
        </w:rPr>
        <w:t>•  完成隐私、脱敏、授权和质控制度。</w:t>
      </w:r>
    </w:p>
    <w:p w14:paraId="1F7D020F">
      <w:pPr>
        <w:pStyle w:val="4"/>
      </w:pPr>
      <w:r>
        <w:rPr>
          <w:rFonts w:hint="eastAsia" w:ascii="Hiragino Sans GB" w:hAnsi="Hiragino Sans GB" w:eastAsia="Hiragino Sans GB" w:cs="Hiragino Sans GB"/>
        </w:rPr>
        <w:t>第二阶段 建队列 验优势</w:t>
      </w:r>
    </w:p>
    <w:p w14:paraId="265E511E">
      <w:pPr>
        <w:ind w:firstLine="420"/>
      </w:pPr>
      <w:r>
        <w:rPr>
          <w:rFonts w:hint="eastAsia" w:ascii="Songti SC" w:hAnsi="Songti SC" w:eastAsia="Songti SC" w:cs="Songti SC"/>
          <w:sz w:val="21"/>
        </w:rPr>
        <w:t>时间建议：6—18个月。</w:t>
      </w:r>
    </w:p>
    <w:p w14:paraId="5E862787">
      <w:pPr>
        <w:ind w:firstLine="420"/>
      </w:pPr>
      <w:r>
        <w:rPr>
          <w:rFonts w:hint="eastAsia" w:ascii="Songti SC" w:hAnsi="Songti SC" w:eastAsia="Songti SC" w:cs="Songti SC"/>
          <w:sz w:val="21"/>
        </w:rPr>
        <w:t>重点任务：</w:t>
      </w:r>
    </w:p>
    <w:p w14:paraId="5C07F92C">
      <w:pPr>
        <w:spacing w:after="60"/>
        <w:ind w:left="425" w:hanging="312"/>
      </w:pPr>
      <w:r>
        <w:rPr>
          <w:rFonts w:hint="eastAsia" w:ascii="Songti SC" w:hAnsi="Songti SC" w:eastAsia="Songti SC" w:cs="Songti SC"/>
          <w:sz w:val="21"/>
        </w:rPr>
        <w:t>•  选择 3—5个优势方向建立病种队列。</w:t>
      </w:r>
    </w:p>
    <w:p w14:paraId="70E187A4">
      <w:pPr>
        <w:spacing w:after="60"/>
        <w:ind w:left="425" w:hanging="312"/>
      </w:pPr>
      <w:r>
        <w:rPr>
          <w:rFonts w:hint="eastAsia" w:ascii="Songti SC" w:hAnsi="Songti SC" w:eastAsia="Songti SC" w:cs="Songti SC"/>
          <w:sz w:val="21"/>
        </w:rPr>
        <w:t>•  形成疗效评价和失败分析报告。</w:t>
      </w:r>
    </w:p>
    <w:p w14:paraId="2EAB0D82">
      <w:pPr>
        <w:spacing w:after="60"/>
        <w:ind w:left="425" w:hanging="312"/>
      </w:pPr>
      <w:r>
        <w:rPr>
          <w:rFonts w:hint="eastAsia" w:ascii="Songti SC" w:hAnsi="Songti SC" w:eastAsia="Songti SC" w:cs="Songti SC"/>
          <w:sz w:val="21"/>
        </w:rPr>
        <w:t>•  开展内部学员培训和病案审核。</w:t>
      </w:r>
    </w:p>
    <w:p w14:paraId="4F3DE263">
      <w:pPr>
        <w:spacing w:after="60"/>
        <w:ind w:left="425" w:hanging="312"/>
      </w:pPr>
      <w:r>
        <w:rPr>
          <w:rFonts w:hint="eastAsia" w:ascii="Songti SC" w:hAnsi="Songti SC" w:eastAsia="Songti SC" w:cs="Songti SC"/>
          <w:sz w:val="21"/>
        </w:rPr>
        <w:t>•  形成第一版教学课程和病案集。</w:t>
      </w:r>
    </w:p>
    <w:p w14:paraId="04414210">
      <w:pPr>
        <w:spacing w:after="60"/>
        <w:ind w:left="425" w:hanging="312"/>
      </w:pPr>
      <w:r>
        <w:rPr>
          <w:rFonts w:hint="eastAsia" w:ascii="Songti SC" w:hAnsi="Songti SC" w:eastAsia="Songti SC" w:cs="Songti SC"/>
          <w:sz w:val="21"/>
        </w:rPr>
        <w:t>•  与医疗机构或科研团队洽谈真实世界研究合作。</w:t>
      </w:r>
    </w:p>
    <w:p w14:paraId="05BB28FD">
      <w:pPr>
        <w:pStyle w:val="4"/>
      </w:pPr>
      <w:r>
        <w:rPr>
          <w:rFonts w:hint="eastAsia" w:ascii="Hiragino Sans GB" w:hAnsi="Hiragino Sans GB" w:eastAsia="Hiragino Sans GB" w:cs="Hiragino Sans GB"/>
        </w:rPr>
        <w:t>第三阶段 建平台 促协同</w:t>
      </w:r>
    </w:p>
    <w:p w14:paraId="5A6B3F6B">
      <w:pPr>
        <w:ind w:firstLine="420"/>
      </w:pPr>
      <w:r>
        <w:rPr>
          <w:rFonts w:hint="eastAsia" w:ascii="Songti SC" w:hAnsi="Songti SC" w:eastAsia="Songti SC" w:cs="Songti SC"/>
          <w:sz w:val="21"/>
        </w:rPr>
        <w:t>时间建议：18—36个月。</w:t>
      </w:r>
    </w:p>
    <w:p w14:paraId="4DFF9845">
      <w:pPr>
        <w:ind w:firstLine="420"/>
      </w:pPr>
      <w:r>
        <w:rPr>
          <w:rFonts w:hint="eastAsia" w:ascii="Songti SC" w:hAnsi="Songti SC" w:eastAsia="Songti SC" w:cs="Songti SC"/>
          <w:sz w:val="21"/>
        </w:rPr>
        <w:t>重点任务：</w:t>
      </w:r>
    </w:p>
    <w:p w14:paraId="44F204DC">
      <w:pPr>
        <w:spacing w:after="60"/>
        <w:ind w:left="425" w:hanging="312"/>
      </w:pPr>
      <w:r>
        <w:rPr>
          <w:rFonts w:hint="eastAsia" w:ascii="Songti SC" w:hAnsi="Songti SC" w:eastAsia="Songti SC" w:cs="Songti SC"/>
          <w:sz w:val="21"/>
        </w:rPr>
        <w:t>•  建设合规的医师辅助小程序或本地系统。</w:t>
      </w:r>
    </w:p>
    <w:p w14:paraId="2ACB83E2">
      <w:pPr>
        <w:spacing w:after="60"/>
        <w:ind w:left="425" w:hanging="312"/>
      </w:pPr>
      <w:r>
        <w:rPr>
          <w:rFonts w:hint="eastAsia" w:ascii="Songti SC" w:hAnsi="Songti SC" w:eastAsia="Songti SC" w:cs="Songti SC"/>
          <w:sz w:val="21"/>
        </w:rPr>
        <w:t>•  建设数字化传承工作室。</w:t>
      </w:r>
    </w:p>
    <w:p w14:paraId="59743C4B">
      <w:pPr>
        <w:spacing w:after="60"/>
        <w:ind w:left="425" w:hanging="312"/>
      </w:pPr>
      <w:r>
        <w:rPr>
          <w:rFonts w:hint="eastAsia" w:ascii="Songti SC" w:hAnsi="Songti SC" w:eastAsia="Songti SC" w:cs="Songti SC"/>
          <w:sz w:val="21"/>
        </w:rPr>
        <w:t>•  建设中英双语资料和国际交流版本。</w:t>
      </w:r>
    </w:p>
    <w:p w14:paraId="1D643249">
      <w:pPr>
        <w:spacing w:after="60"/>
        <w:ind w:left="425" w:hanging="312"/>
      </w:pPr>
      <w:r>
        <w:rPr>
          <w:rFonts w:hint="eastAsia" w:ascii="Songti SC" w:hAnsi="Songti SC" w:eastAsia="Songti SC" w:cs="Songti SC"/>
          <w:sz w:val="21"/>
        </w:rPr>
        <w:t>•  形成白皮书、操作规范、课程体系、病案集、研究报告。</w:t>
      </w:r>
    </w:p>
    <w:p w14:paraId="4A82FF09">
      <w:pPr>
        <w:spacing w:after="60"/>
        <w:ind w:left="425" w:hanging="312"/>
      </w:pPr>
      <w:r>
        <w:rPr>
          <w:rFonts w:hint="eastAsia" w:ascii="Songti SC" w:hAnsi="Songti SC" w:eastAsia="Songti SC" w:cs="Songti SC"/>
          <w:sz w:val="21"/>
        </w:rPr>
        <w:t>•  推动地方非遗、中医优势专科、数字中医药和基层健康管理协同发展。</w:t>
      </w:r>
    </w:p>
    <w:p w14:paraId="73DA1796">
      <w:pPr>
        <w:pStyle w:val="3"/>
      </w:pPr>
      <w:r>
        <w:rPr>
          <w:rFonts w:hint="eastAsia" w:ascii="Hiragino Sans GB" w:hAnsi="Hiragino Sans GB" w:eastAsia="Hiragino Sans GB" w:cs="Hiragino Sans GB"/>
        </w:rPr>
        <w:t>十三 实施建议</w:t>
      </w:r>
    </w:p>
    <w:p w14:paraId="73E66C4C">
      <w:pPr>
        <w:pStyle w:val="4"/>
      </w:pPr>
      <w:r>
        <w:rPr>
          <w:rFonts w:hint="eastAsia" w:ascii="Hiragino Sans GB" w:hAnsi="Hiragino Sans GB" w:eastAsia="Hiragino Sans GB" w:cs="Hiragino Sans GB"/>
        </w:rPr>
        <w:t>1 面向政府和非遗保护单位</w:t>
      </w:r>
    </w:p>
    <w:p w14:paraId="54503218">
      <w:pPr>
        <w:ind w:firstLine="420"/>
      </w:pPr>
      <w:r>
        <w:rPr>
          <w:rFonts w:hint="eastAsia" w:ascii="Songti SC" w:hAnsi="Songti SC" w:eastAsia="Songti SC" w:cs="Songti SC"/>
          <w:sz w:val="21"/>
        </w:rPr>
        <w:t>建议将泰山经方标准化诊疗法纳入地方中医药非遗数字化保护、基层中医药服务能力提升和中医药文化传播项目，支持其建立数字档案、标准病案库、传承课程和示范工作室。</w:t>
      </w:r>
    </w:p>
    <w:p w14:paraId="2F91826C">
      <w:pPr>
        <w:pStyle w:val="4"/>
      </w:pPr>
      <w:r>
        <w:rPr>
          <w:rFonts w:hint="eastAsia" w:ascii="Hiragino Sans GB" w:hAnsi="Hiragino Sans GB" w:eastAsia="Hiragino Sans GB" w:cs="Hiragino Sans GB"/>
        </w:rPr>
        <w:t>2 面向医疗机构</w:t>
      </w:r>
    </w:p>
    <w:p w14:paraId="4BF84C5C">
      <w:pPr>
        <w:ind w:firstLine="420"/>
      </w:pPr>
      <w:r>
        <w:rPr>
          <w:rFonts w:hint="eastAsia" w:ascii="Songti SC" w:hAnsi="Songti SC" w:eastAsia="Songti SC" w:cs="Songti SC"/>
          <w:sz w:val="21"/>
        </w:rPr>
        <w:t>建议以“医师辅助、病案规范、疗效复盘、优势病种观察”为合作入口，先做小规模真实世界病例队列，再逐步形成专病诊疗路径和临床研究方案。</w:t>
      </w:r>
    </w:p>
    <w:p w14:paraId="0D2E8564">
      <w:pPr>
        <w:pStyle w:val="4"/>
      </w:pPr>
      <w:r>
        <w:rPr>
          <w:rFonts w:hint="eastAsia" w:ascii="Hiragino Sans GB" w:hAnsi="Hiragino Sans GB" w:eastAsia="Hiragino Sans GB" w:cs="Hiragino Sans GB"/>
        </w:rPr>
        <w:t>3 面向科研院校</w:t>
      </w:r>
    </w:p>
    <w:p w14:paraId="2CA3F5ED">
      <w:pPr>
        <w:ind w:firstLine="420"/>
      </w:pPr>
      <w:r>
        <w:rPr>
          <w:rFonts w:hint="eastAsia" w:ascii="Songti SC" w:hAnsi="Songti SC" w:eastAsia="Songti SC" w:cs="Songti SC"/>
          <w:sz w:val="21"/>
        </w:rPr>
        <w:t>建议围绕中医诊疗数据结构化、方证知识图谱、真实世界证据、传统医学AI辅助、非遗数字化保护等方向开展合作。</w:t>
      </w:r>
    </w:p>
    <w:p w14:paraId="7525C8F2">
      <w:pPr>
        <w:pStyle w:val="4"/>
      </w:pPr>
      <w:r>
        <w:rPr>
          <w:rFonts w:hint="eastAsia" w:ascii="Hiragino Sans GB" w:hAnsi="Hiragino Sans GB" w:eastAsia="Hiragino Sans GB" w:cs="Hiragino Sans GB"/>
        </w:rPr>
        <w:t>4 面向基层群众</w:t>
      </w:r>
    </w:p>
    <w:p w14:paraId="03B7DB23">
      <w:pPr>
        <w:ind w:firstLine="420"/>
      </w:pPr>
      <w:r>
        <w:rPr>
          <w:rFonts w:hint="eastAsia" w:ascii="Songti SC" w:hAnsi="Songti SC" w:eastAsia="Songti SC" w:cs="Songti SC"/>
          <w:sz w:val="21"/>
        </w:rPr>
        <w:t>建议以公益科普、治未病调护、标准随访和健康生活方式指导为入口，提供清楚、克制、可信的中医药服务，不制造焦虑，不鼓励自诊自药。</w:t>
      </w:r>
    </w:p>
    <w:p w14:paraId="390A9912">
      <w:pPr>
        <w:pStyle w:val="3"/>
      </w:pPr>
      <w:r>
        <w:rPr>
          <w:rFonts w:hint="eastAsia" w:ascii="Hiragino Sans GB" w:hAnsi="Hiragino Sans GB" w:eastAsia="Hiragino Sans GB" w:cs="Hiragino Sans GB"/>
        </w:rPr>
        <w:t>十四 结语</w:t>
      </w:r>
    </w:p>
    <w:p w14:paraId="7A1B3BB1">
      <w:pPr>
        <w:spacing w:after="40"/>
      </w:pPr>
      <w:r>
        <w:t>参考文献与项目依据</w:t>
      </w:r>
    </w:p>
    <w:p w14:paraId="504F2707">
      <w:pPr>
        <w:ind w:firstLine="420"/>
      </w:pPr>
      <w:r>
        <w:rPr>
          <w:rFonts w:hint="eastAsia" w:ascii="Songti SC" w:hAnsi="Songti SC" w:eastAsia="Songti SC" w:cs="Songti SC"/>
          <w:sz w:val="21"/>
        </w:rPr>
        <w:t>泰山经方标准化诊疗法以中医经典和传承经验为基础，通过标准病案、临床流程与数字工具连接诊疗、教学、研究和非遗保护。</w:t>
      </w:r>
    </w:p>
    <w:p w14:paraId="08B4088C">
      <w:pPr>
        <w:ind w:firstLine="420"/>
      </w:pPr>
      <w:r>
        <w:rPr>
          <w:rFonts w:hint="eastAsia" w:ascii="Songti SC" w:hAnsi="Songti SC" w:eastAsia="Songti SC" w:cs="Songti SC"/>
          <w:sz w:val="21"/>
        </w:rPr>
        <w:t>其建设重点是保存可验证的临床经验，明确诊疗边界，形成可学习、可执行、可复核的专业方法，并以规范术语和真实世界证据支持国内传承与国际交流。</w:t>
      </w:r>
    </w:p>
    <w:p w14:paraId="10CE48FE">
      <w:pPr>
        <w:ind w:firstLine="420"/>
      </w:pPr>
      <w:r>
        <w:rPr>
          <w:rFonts w:hint="eastAsia" w:ascii="Songti SC" w:hAnsi="Songti SC" w:eastAsia="Songti SC" w:cs="Songti SC"/>
          <w:sz w:val="21"/>
        </w:rPr>
        <w:t>流派建设应以经典依据立论，以规范病案传承，以临床效果检验，并以风险边界保障长期发展。</w:t>
      </w:r>
    </w:p>
    <w:p w14:paraId="45433685">
      <w:pPr>
        <w:ind w:firstLine="420"/>
      </w:pPr>
      <w:r>
        <w:rPr>
          <w:rFonts w:hint="eastAsia" w:ascii="Songti SC" w:hAnsi="Songti SC" w:eastAsia="Songti SC" w:cs="Songti SC"/>
          <w:sz w:val="21"/>
        </w:rPr>
        <w:t>泰山经方标准化诊疗法应坚持经典依据、临床安全、规范记录和开放合作，在持续复盘与审慎验证中完善学术体系和服务模式。</w:t>
      </w:r>
    </w:p>
    <w:p w14:paraId="6EE36B0F">
      <w:pPr>
        <w:pStyle w:val="3"/>
      </w:pPr>
      <w:r>
        <w:rPr>
          <w:rFonts w:hint="eastAsia" w:ascii="Hiragino Sans GB" w:hAnsi="Hiragino Sans GB" w:eastAsia="Hiragino Sans GB" w:cs="Hiragino Sans GB"/>
        </w:rPr>
        <w:t>参考文献与项目依据</w:t>
      </w:r>
    </w:p>
    <w:p w14:paraId="7C14E225">
      <w:pPr>
        <w:pStyle w:val="4"/>
      </w:pPr>
      <w:r>
        <w:rPr>
          <w:rFonts w:hint="eastAsia" w:ascii="Hiragino Sans GB" w:hAnsi="Hiragino Sans GB" w:eastAsia="Hiragino Sans GB" w:cs="Hiragino Sans GB"/>
        </w:rPr>
        <w:t>项目内部依据</w:t>
      </w:r>
    </w:p>
    <w:p w14:paraId="1DADEB60">
      <w:pPr>
        <w:keepLines/>
        <w:spacing w:after="100" w:line="300" w:lineRule="auto"/>
        <w:ind w:left="482" w:hanging="482"/>
        <w:jc w:val="left"/>
      </w:pPr>
      <w:r>
        <w:rPr>
          <w:rFonts w:hint="eastAsia" w:ascii="Songti SC" w:hAnsi="Songti SC" w:eastAsia="Songti SC" w:cs="Songti SC"/>
          <w:sz w:val="21"/>
        </w:rPr>
        <w:t>[1] 《泰山经方标准化诊疗法学术纲要》。</w:t>
      </w:r>
    </w:p>
    <w:p w14:paraId="38CC4A05">
      <w:pPr>
        <w:keepLines/>
        <w:spacing w:after="100" w:line="300" w:lineRule="auto"/>
        <w:ind w:left="482" w:hanging="482"/>
        <w:jc w:val="left"/>
      </w:pPr>
      <w:r>
        <w:rPr>
          <w:rFonts w:hint="eastAsia" w:ascii="Songti SC" w:hAnsi="Songti SC" w:eastAsia="Songti SC" w:cs="Songti SC"/>
          <w:sz w:val="21"/>
        </w:rPr>
        <w:t>[2] 《泰山经方标准化诊疗法临床操作规范》。</w:t>
      </w:r>
    </w:p>
    <w:p w14:paraId="3BF2F4EE">
      <w:pPr>
        <w:keepLines/>
        <w:spacing w:after="100" w:line="300" w:lineRule="auto"/>
        <w:ind w:left="482" w:hanging="482"/>
        <w:jc w:val="left"/>
      </w:pPr>
      <w:r>
        <w:rPr>
          <w:rFonts w:hint="eastAsia" w:ascii="Songti SC" w:hAnsi="Songti SC" w:eastAsia="Songti SC" w:cs="Songti SC"/>
          <w:sz w:val="21"/>
        </w:rPr>
        <w:t>[3] 《泰山经方标准病案采集表》。</w:t>
      </w:r>
    </w:p>
    <w:p w14:paraId="685BEE8E">
      <w:pPr>
        <w:keepLines/>
        <w:spacing w:after="100" w:line="300" w:lineRule="auto"/>
        <w:ind w:left="482" w:hanging="482"/>
        <w:jc w:val="left"/>
      </w:pPr>
      <w:r>
        <w:rPr>
          <w:rFonts w:hint="eastAsia" w:ascii="Songti SC" w:hAnsi="Songti SC" w:eastAsia="Songti SC" w:cs="Songti SC"/>
          <w:sz w:val="21"/>
        </w:rPr>
        <w:t>[4] 100例标准病案库建设文件。</w:t>
      </w:r>
    </w:p>
    <w:p w14:paraId="7EBF0E80">
      <w:pPr>
        <w:pStyle w:val="4"/>
      </w:pPr>
      <w:r>
        <w:rPr>
          <w:rFonts w:hint="eastAsia" w:ascii="Hiragino Sans GB" w:hAnsi="Hiragino Sans GB" w:eastAsia="Hiragino Sans GB" w:cs="Hiragino Sans GB"/>
        </w:rPr>
        <w:t>公开政策与国际资料</w:t>
      </w:r>
    </w:p>
    <w:p w14:paraId="0FB573C3">
      <w:pPr>
        <w:keepLines/>
        <w:spacing w:after="100" w:line="300" w:lineRule="auto"/>
        <w:ind w:left="482" w:hanging="482"/>
        <w:jc w:val="left"/>
      </w:pPr>
      <w:r>
        <w:rPr>
          <w:rFonts w:hint="eastAsia" w:ascii="Songti SC" w:hAnsi="Songti SC" w:eastAsia="Songti SC" w:cs="Songti SC"/>
          <w:sz w:val="21"/>
        </w:rPr>
        <w:t>[1] 中共中央、国务院.《“健康中国2030”规划纲要》. 2016年10月25日. https://app.www.gov.cn/govdata/gov/201610/25/391793/article.html</w:t>
      </w:r>
    </w:p>
    <w:p w14:paraId="4793C562">
      <w:pPr>
        <w:keepLines/>
        <w:spacing w:after="100" w:line="300" w:lineRule="auto"/>
        <w:ind w:left="482" w:hanging="482"/>
        <w:jc w:val="left"/>
      </w:pPr>
      <w:r>
        <w:rPr>
          <w:rFonts w:hint="eastAsia" w:ascii="Songti SC" w:hAnsi="Songti SC" w:eastAsia="Songti SC" w:cs="Songti SC"/>
          <w:sz w:val="21"/>
        </w:rPr>
        <w:t>[2] 中共中央、国务院.《关于促进中医药传承创新发展的意见》. 2019年10月20日. https://www.gov.cn/gbgl/a9d451bb1add4d37b0b033b487761a26/files/e5e993ab5d9c45a0afeb252673d81ce5.pdf</w:t>
      </w:r>
    </w:p>
    <w:p w14:paraId="3F31DB16">
      <w:pPr>
        <w:keepLines/>
        <w:spacing w:after="100" w:line="300" w:lineRule="auto"/>
        <w:ind w:left="482" w:hanging="482"/>
        <w:jc w:val="left"/>
      </w:pPr>
      <w:r>
        <w:rPr>
          <w:rFonts w:hint="eastAsia" w:ascii="Songti SC" w:hAnsi="Songti SC" w:eastAsia="Songti SC" w:cs="Songti SC"/>
          <w:sz w:val="21"/>
        </w:rPr>
        <w:t>[3] 国务院办公厅.《“十四五”中医药发展规划》. 国办发〔2022〕5号，2022年3月3日. https://www.nhc.gov.cn/wjw/mtbd/202203/cd3d089b6a154c77b99c34ac9f6ca99a.shtml</w:t>
      </w:r>
    </w:p>
    <w:p w14:paraId="0C1D62BA">
      <w:pPr>
        <w:keepLines/>
        <w:spacing w:after="100" w:line="300" w:lineRule="auto"/>
        <w:ind w:left="482" w:hanging="482"/>
        <w:jc w:val="left"/>
      </w:pPr>
      <w:r>
        <w:rPr>
          <w:rFonts w:hint="eastAsia" w:ascii="Songti SC" w:hAnsi="Songti SC" w:eastAsia="Songti SC" w:cs="Songti SC"/>
          <w:sz w:val="21"/>
        </w:rPr>
        <w:t>[4] 国务院.《关于〈中医药振兴发展“十五五”规划〉的批复》. 国函〔2026〕71号，2026年7月7日. https://www.gov.cn/zhengce/content/202607/content_7074930.htm</w:t>
      </w:r>
    </w:p>
    <w:p w14:paraId="1FC36084">
      <w:pPr>
        <w:keepLines/>
        <w:spacing w:after="100" w:line="300" w:lineRule="auto"/>
        <w:ind w:left="482" w:hanging="482"/>
        <w:jc w:val="left"/>
      </w:pPr>
      <w:r>
        <w:rPr>
          <w:rFonts w:hint="eastAsia" w:ascii="Songti SC" w:hAnsi="Songti SC" w:eastAsia="Songti SC" w:cs="Songti SC"/>
          <w:sz w:val="21"/>
        </w:rPr>
        <w:t>[5] 中共中央、国务院.《数字中国建设整体布局规划》. 2023年2月27日. https://www.gov.cn/zhengce/2023-02/27/content_5743484.htm</w:t>
      </w:r>
    </w:p>
    <w:p w14:paraId="40444A52">
      <w:pPr>
        <w:keepLines/>
        <w:spacing w:after="100" w:line="300" w:lineRule="auto"/>
        <w:ind w:left="482" w:hanging="482"/>
        <w:jc w:val="left"/>
      </w:pPr>
      <w:r>
        <w:rPr>
          <w:rFonts w:hint="eastAsia" w:ascii="Songti SC" w:hAnsi="Songti SC" w:eastAsia="Songti SC" w:cs="Songti SC"/>
          <w:sz w:val="21"/>
        </w:rPr>
        <w:t>[6] 国家中医药管理局、国家数据局.《关于促进数字中医药发展的若干意见》. 国中医药综发〔2024〕6号，2024年7月19日. https://www.gov.cn/zhengce/zhengceku/202408/content_6968519.htm</w:t>
      </w:r>
    </w:p>
    <w:p w14:paraId="53AA3116">
      <w:pPr>
        <w:keepLines/>
        <w:spacing w:after="100" w:line="300" w:lineRule="auto"/>
        <w:ind w:left="482" w:hanging="482"/>
        <w:jc w:val="left"/>
      </w:pPr>
      <w:r>
        <w:rPr>
          <w:rFonts w:hint="eastAsia" w:ascii="Songti SC" w:hAnsi="Songti SC" w:eastAsia="Songti SC" w:cs="Songti SC"/>
          <w:sz w:val="21"/>
        </w:rPr>
        <w:t>[7] World Health Organization. WHO Global Traditional Medicine Centre. https://www.who.int/initiatives/who-global-traditional-medicine-centre</w:t>
      </w:r>
    </w:p>
    <w:p w14:paraId="5333FC9C">
      <w:pPr>
        <w:keepLines/>
        <w:spacing w:after="100" w:line="300" w:lineRule="auto"/>
        <w:ind w:left="482" w:hanging="482"/>
        <w:jc w:val="left"/>
      </w:pPr>
      <w:r>
        <w:rPr>
          <w:rFonts w:hint="eastAsia" w:ascii="Songti SC" w:hAnsi="Songti SC" w:eastAsia="Songti SC" w:cs="Songti SC"/>
          <w:sz w:val="21"/>
        </w:rPr>
        <w:t>[8] World Health Organization. Global traditional medicine strategy 2025–2034. 2025. https://www.who.int/publications/i/item/9789240113176</w:t>
      </w:r>
    </w:p>
    <w:sectPr>
      <w:headerReference r:id="rId6" w:type="first"/>
      <w:footerReference r:id="rId8" w:type="first"/>
      <w:headerReference r:id="rId5" w:type="default"/>
      <w:footerReference r:id="rId7" w:type="default"/>
      <w:pgSz w:w="11906" w:h="16838"/>
      <w:pgMar w:top="1332" w:right="1332" w:bottom="1219" w:left="1446" w:header="709" w:footer="65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Songti SC">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Hiragino Sans GB">
    <w:panose1 w:val="020B0300000000000000"/>
    <w:charset w:val="86"/>
    <w:family w:val="auto"/>
    <w:pitch w:val="default"/>
    <w:sig w:usb0="A00002BF" w:usb1="1ACF7CFA" w:usb2="00000016" w:usb3="00000000" w:csb0="00060007"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13EF6">
    <w:pPr>
      <w:pStyle w:val="2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6C3F7">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8" w:lineRule="auto"/>
      </w:pPr>
      <w:r>
        <w:separator/>
      </w:r>
    </w:p>
  </w:footnote>
  <w:footnote w:type="continuationSeparator" w:id="1">
    <w:p>
      <w:pPr>
        <w:spacing w:before="0" w:after="0" w:line="34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9914">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B95BB">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FF76668"/>
    <w:rsid w:val="7EAB2F22"/>
    <w:rsid w:val="95FA1402"/>
    <w:rsid w:val="9FDE89D3"/>
    <w:rsid w:val="B7DD9339"/>
    <w:rsid w:val="BAE3FF30"/>
    <w:rsid w:val="E6DF6374"/>
    <w:rsid w:val="EF7E886E"/>
    <w:rsid w:val="FBFC6ADD"/>
    <w:rsid w:val="FE9EF6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48" w:lineRule="auto"/>
      <w:jc w:val="both"/>
    </w:pPr>
    <w:rPr>
      <w:rFonts w:hint="eastAsia" w:ascii="Songti SC" w:hAnsi="Songti SC" w:eastAsia="Songti SC" w:cs="Songti SC"/>
      <w:sz w:val="22"/>
      <w:szCs w:val="22"/>
      <w:lang w:val="en-US" w:eastAsia="en-US" w:bidi="ar-SA"/>
    </w:rPr>
  </w:style>
  <w:style w:type="paragraph" w:styleId="3">
    <w:name w:val="heading 1"/>
    <w:basedOn w:val="1"/>
    <w:next w:val="1"/>
    <w:link w:val="138"/>
    <w:qFormat/>
    <w:uiPriority w:val="9"/>
    <w:pPr>
      <w:keepNext/>
      <w:keepLines/>
      <w:pageBreakBefore w:val="0"/>
      <w:spacing w:before="360" w:after="160"/>
      <w:outlineLvl w:val="0"/>
    </w:pPr>
    <w:rPr>
      <w:rFonts w:hint="eastAsia"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pageBreakBefore w:val="0"/>
      <w:spacing w:before="240" w:after="120"/>
      <w:outlineLvl w:val="1"/>
    </w:pPr>
    <w:rPr>
      <w:rFonts w:hint="eastAsia"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pageBreakBefore w:val="0"/>
      <w:spacing w:before="200" w:after="80"/>
      <w:outlineLvl w:val="2"/>
    </w:pPr>
    <w:rPr>
      <w:rFonts w:hint="eastAsia" w:asciiTheme="majorHAnsi" w:hAnsiTheme="majorHAnsi" w:eastAsiaTheme="majorEastAsia" w:cstheme="majorBidi"/>
      <w:b/>
      <w:bCs/>
      <w:color w:val="000000"/>
      <w:sz w:val="22"/>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320" w:line="240" w:lineRule="auto"/>
      <w:contextualSpacing/>
      <w:jc w:val="center"/>
    </w:pPr>
    <w:rPr>
      <w:rFonts w:hint="eastAsia" w:asciiTheme="majorHAnsi" w:hAnsiTheme="majorHAnsi" w:eastAsiaTheme="majorEastAsia" w:cstheme="majorBidi"/>
      <w:b/>
      <w:color w:val="000000"/>
      <w:spacing w:val="5"/>
      <w:kern w:val="28"/>
      <w:sz w:val="48"/>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3</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发布优化稿</dc:description>
  <cp:keywords>泰山经方, 经方诊疗, 标准病案, 数字中医药, 非遗传承</cp:keywords>
  <cp:lastModifiedBy>泰安王相钧</cp:lastModifiedBy>
  <dcterms:modified xsi:type="dcterms:W3CDTF">2026-10-22T16:05:50Z</dcterms:modified>
  <dc:subject>学术体系 临床路径 数字化建设与治理框架</dc:subject>
  <dc:title>泰山经方标准化诊疗法白皮书</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F54321FC25430926DEC3D96A19B6BDB7_43</vt:lpwstr>
  </property>
</Properties>
</file>