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Unicode MS" w:hAnsi="Arial Unicode MS" w:eastAsia="Arial Unicode MS"/>
          <w:b/>
          <w:color w:val="1F4D78"/>
          <w:sz w:val="42"/>
        </w:rPr>
        <w:t>泰山经方数字化传承建设报告</w:t>
      </w:r>
    </w:p>
    <w:p>
      <w:r>
        <w:rPr>
          <w:rFonts w:ascii="Arial Unicode MS" w:hAnsi="Arial Unicode MS" w:eastAsia="Arial Unicode MS"/>
          <w:b w:val="0"/>
          <w:color w:val="000000"/>
          <w:sz w:val="21"/>
        </w:rPr>
        <w:t>版本：V1.0</w:t>
      </w:r>
    </w:p>
    <w:p>
      <w:r>
        <w:rPr>
          <w:rFonts w:ascii="Arial Unicode MS" w:hAnsi="Arial Unicode MS" w:eastAsia="Arial Unicode MS"/>
          <w:b w:val="0"/>
          <w:color w:val="000000"/>
          <w:sz w:val="21"/>
        </w:rPr>
        <w:t>日期：2026-08-02</w:t>
      </w:r>
    </w:p>
    <w:p>
      <w:r>
        <w:rPr>
          <w:rFonts w:ascii="Arial Unicode MS" w:hAnsi="Arial Unicode MS" w:eastAsia="Arial Unicode MS"/>
          <w:b w:val="0"/>
          <w:color w:val="000000"/>
          <w:sz w:val="21"/>
        </w:rPr>
        <w:t>项目定位：中医非遗“泰山经方标准化诊疗法”的本地化、标准化、数字化传承建设报告。</w:t>
      </w:r>
    </w:p>
    <w:p>
      <w:r>
        <w:rPr>
          <w:rFonts w:ascii="Arial Unicode MS" w:hAnsi="Arial Unicode MS" w:eastAsia="Arial Unicode MS"/>
          <w:b w:val="0"/>
          <w:color w:val="000000"/>
          <w:sz w:val="21"/>
        </w:rPr>
        <w:t>边界声明：本报告用于项目建设、内部管理、合作汇报、非遗保护和科研论证；不作为患者自助诊断、自动处方或疗效承诺材料。</w:t>
      </w:r>
    </w:p>
    <w:p>
      <w:pPr>
        <w:pStyle w:val="Heading1"/>
      </w:pPr>
      <w:r>
        <w:t>一、建设背景</w:t>
      </w:r>
    </w:p>
    <w:p>
      <w:r>
        <w:rPr>
          <w:rFonts w:ascii="Arial Unicode MS" w:hAnsi="Arial Unicode MS" w:eastAsia="Arial Unicode MS"/>
          <w:b w:val="0"/>
          <w:color w:val="000000"/>
          <w:sz w:val="21"/>
        </w:rPr>
        <w:t>泰山经方标准化诊疗法是以经典经方为临床落点，以《难经》五诊和脉诊为诊察路径，以五运六气和干支象数推演为特色，以标准病案和数字化工具为传承载体的中医学术流派。其核心任务不是简单保存资料，而是把传承人的临床经验、课程资料、方剂表格、软件系统、疗效反馈和病案记录，建设成可整理、可检索、可复核、可教学、可研究的本地知识体系。</w:t>
      </w:r>
    </w:p>
    <w:p>
      <w:r>
        <w:rPr>
          <w:rFonts w:ascii="Arial Unicode MS" w:hAnsi="Arial Unicode MS" w:eastAsia="Arial Unicode MS"/>
          <w:b w:val="0"/>
          <w:color w:val="000000"/>
          <w:sz w:val="21"/>
        </w:rPr>
        <w:t>当前中医药发展进入传承创新与数字化融合的新阶段。健康中国、数字中国、中医药振兴发展、数字中医药等国家战略，均要求优秀中医药经验从分散经验走向体系化保护，从口传心授走向标准化教学，从单个案例走向真实世界证据，从纸质材料走向安全可控的数据资产。</w:t>
      </w:r>
    </w:p>
    <w:p>
      <w:r>
        <w:rPr>
          <w:rFonts w:ascii="Arial Unicode MS" w:hAnsi="Arial Unicode MS" w:eastAsia="Arial Unicode MS"/>
          <w:b w:val="0"/>
          <w:color w:val="000000"/>
          <w:sz w:val="21"/>
        </w:rPr>
        <w:t>泰山经方数字化传承建设，正是对这一时代任务的基层实践：以非遗保护为根，以临床安全为底线，以本地知识库为基础，以标准病案为证据，以软件工具为抓手，以人才培养和民生服务为最终目标。</w:t>
      </w:r>
    </w:p>
    <w:p>
      <w:pPr>
        <w:pStyle w:val="Heading1"/>
      </w:pPr>
      <w:r>
        <w:t>二、建设目标</w:t>
      </w:r>
    </w:p>
    <w:p>
      <w:pPr>
        <w:pStyle w:val="Heading2"/>
      </w:pPr>
      <w:r>
        <w:t>1. 总体目标</w:t>
      </w:r>
    </w:p>
    <w:p>
      <w:r>
        <w:rPr>
          <w:rFonts w:ascii="Arial Unicode MS" w:hAnsi="Arial Unicode MS" w:eastAsia="Arial Unicode MS"/>
          <w:b w:val="0"/>
          <w:color w:val="000000"/>
          <w:sz w:val="21"/>
        </w:rPr>
        <w:t>建立一套“本地保存、标准采集、规则可查、病案可复盘、教学可传承、软件可辅助、数据可治理”的泰山经方数字化传承体系。</w:t>
      </w:r>
    </w:p>
    <w:p>
      <w:pPr>
        <w:pStyle w:val="Heading2"/>
      </w:pPr>
      <w:r>
        <w:t>2. 分项目标</w:t>
      </w:r>
    </w:p>
    <w:tbl>
      <w:tblPr>
        <w:tblStyle w:val="TableGrid"/>
        <w:tblW w:type="auto" w:w="0"/>
        <w:tblLayout w:type="fixed"/>
        <w:tblLook w:firstColumn="1" w:firstRow="1" w:lastColumn="0" w:lastRow="0" w:noHBand="0" w:noVBand="1" w:val="04A0"/>
      </w:tblPr>
      <w:tblGrid>
        <w:gridCol w:w="3120"/>
        <w:gridCol w:w="3120"/>
        <w:gridCol w:w="3120"/>
      </w:tblGrid>
      <w:tr>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目标</w:t>
            </w:r>
          </w:p>
        </w:tc>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建设内容</w:t>
            </w:r>
          </w:p>
        </w:tc>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预期成果</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非遗资料保护</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整理传承人口述、课程、视频、图片、证书、软件资料</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建立可追溯的非遗数字档案</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学术体系成文</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完成学术纲要、白皮书、临床操作规范</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建立流派对内对外表达体系</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诊疗流程标准化</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固化接诊、运气、五诊、脉诊、方证、处方、复诊流程</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建立可培训、可复核的临床 SOP</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标准病案建设</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建立 100 例标准病案库框架</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积累真实世界临床证据</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本地软件建设</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重写旧系统，建设本地 Web MVP 和微信小程序设计</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建立医师辅助工具原型</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数据安全治理</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本地保存、去重索引、脱敏规则、权限边界</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保护患者隐私和内部知识产权</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教学传承体系</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建立课程、题库、病案复盘和学员训练路径</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支撑流派持续传承</w:t>
            </w:r>
          </w:p>
        </w:tc>
      </w:tr>
    </w:tbl>
    <w:p/>
    <w:p>
      <w:pPr>
        <w:pStyle w:val="Heading1"/>
      </w:pPr>
      <w:r>
        <w:t>三、建设原则</w:t>
      </w:r>
    </w:p>
    <w:p>
      <w:pPr>
        <w:pStyle w:val="Heading2"/>
      </w:pPr>
      <w:r>
        <w:t>1. 本地优先</w:t>
      </w:r>
    </w:p>
    <w:p>
      <w:r>
        <w:rPr>
          <w:rFonts w:ascii="Arial Unicode MS" w:hAnsi="Arial Unicode MS" w:eastAsia="Arial Unicode MS"/>
          <w:b w:val="0"/>
          <w:color w:val="000000"/>
          <w:sz w:val="21"/>
        </w:rPr>
        <w:t>本项目的基本原则是“本地保存，永不默认上传云端”。原始病案、患者反馈、处方剂量、内部推演规则、软件源码和未公开研究资料均保存在本地知识库或本地硬盘中。后续如建设联网服务，必须另行设计数据授权、脱敏、加密、访问控制和审计制度。</w:t>
      </w:r>
    </w:p>
    <w:p>
      <w:pPr>
        <w:pStyle w:val="Heading2"/>
      </w:pPr>
      <w:r>
        <w:t>2. 标准先行</w:t>
      </w:r>
    </w:p>
    <w:p>
      <w:r>
        <w:rPr>
          <w:rFonts w:ascii="Arial Unicode MS" w:hAnsi="Arial Unicode MS" w:eastAsia="Arial Unicode MS"/>
          <w:b w:val="0"/>
          <w:color w:val="000000"/>
          <w:sz w:val="21"/>
        </w:rPr>
        <w:t>数字化不是把文件简单堆进文件夹，而是先建立目录标准、命名标准、病案标准、术语标准、流程标准、权限标准和质控标准。只有标准清楚，后续 AI、软件、检索和科研才不会失真。</w:t>
      </w:r>
    </w:p>
    <w:p>
      <w:pPr>
        <w:pStyle w:val="Heading2"/>
      </w:pPr>
      <w:r>
        <w:t>3. 医师裁断</w:t>
      </w:r>
    </w:p>
    <w:p>
      <w:r>
        <w:rPr>
          <w:rFonts w:ascii="Arial Unicode MS" w:hAnsi="Arial Unicode MS" w:eastAsia="Arial Unicode MS"/>
          <w:b w:val="0"/>
          <w:color w:val="000000"/>
          <w:sz w:val="21"/>
        </w:rPr>
        <w:t>软件、表格、规则库和 AI 只作为医师辅助分析工具，不替代执业医师诊断处方。所有方证判断、处方、加减、禁忌、转诊和复诊调整，最终均由合格医师或授权传承人裁断。</w:t>
      </w:r>
    </w:p>
    <w:p>
      <w:pPr>
        <w:pStyle w:val="Heading2"/>
      </w:pPr>
      <w:r>
        <w:t>4. 隐私保护</w:t>
      </w:r>
    </w:p>
    <w:p>
      <w:r>
        <w:rPr>
          <w:rFonts w:ascii="Arial Unicode MS" w:hAnsi="Arial Unicode MS" w:eastAsia="Arial Unicode MS"/>
          <w:b w:val="0"/>
          <w:color w:val="000000"/>
          <w:sz w:val="21"/>
        </w:rPr>
        <w:t>患者姓名、手机号、身份证号、详细地址、病历号、头像、二维码、原始聊天截图等身份信息，不进入公开材料。完整病案、处方剂量和内部规则不进入公众科普。</w:t>
      </w:r>
    </w:p>
    <w:p>
      <w:pPr>
        <w:pStyle w:val="Heading2"/>
      </w:pPr>
      <w:r>
        <w:t>5. 证据导向</w:t>
      </w:r>
    </w:p>
    <w:p>
      <w:r>
        <w:rPr>
          <w:rFonts w:ascii="Arial Unicode MS" w:hAnsi="Arial Unicode MS" w:eastAsia="Arial Unicode MS"/>
          <w:b w:val="0"/>
          <w:color w:val="000000"/>
          <w:sz w:val="21"/>
        </w:rPr>
        <w:t>本项目不以夸大疗效为传播方式，而以连续、真实、可复核的标准病案和复诊反馈建立流派公信力。成功病例要记录，失败病例也要记录。</w:t>
      </w:r>
    </w:p>
    <w:p>
      <w:pPr>
        <w:pStyle w:val="Heading1"/>
      </w:pPr>
      <w:r>
        <w:t>四、总体架构</w:t>
      </w:r>
    </w:p>
    <w:p>
      <w:r>
        <w:rPr>
          <w:rFonts w:ascii="Arial Unicode MS" w:hAnsi="Arial Unicode MS" w:eastAsia="Arial Unicode MS"/>
          <w:b w:val="0"/>
          <w:color w:val="000000"/>
          <w:sz w:val="21"/>
        </w:rPr>
        <w:t>泰山经方数字化传承体系由“一库、两表、三规范、四平台、五体系”组成。</w:t>
      </w:r>
    </w:p>
    <w:p>
      <w:pPr>
        <w:pStyle w:val="Heading2"/>
      </w:pPr>
      <w:r>
        <w:t>1. 一库</w:t>
      </w:r>
    </w:p>
    <w:p>
      <w:r>
        <w:rPr>
          <w:rFonts w:ascii="Arial Unicode MS" w:hAnsi="Arial Unicode MS" w:eastAsia="Arial Unicode MS"/>
          <w:b w:val="0"/>
          <w:color w:val="000000"/>
          <w:sz w:val="21"/>
        </w:rPr>
        <w:t>一库即“泰山经方数字传承资料库”。该资料库为本项目的根目录和知识资产中心，已经建立 18 个一级或核心功能分区，包括项目总档案、传承谱系、口述录音、讲课视频、方剂知识库、医案资料库、标准化诊疗流程、术语库、AI 本地提示词、对外传播素材、合规与隐私、备份说明、外部导入原始资料、本地学习笔记、近期办理工作台、本地 Web MVP、神农指本地重写版等。</w:t>
      </w:r>
    </w:p>
    <w:p>
      <w:pPr>
        <w:pStyle w:val="Heading2"/>
      </w:pPr>
      <w:r>
        <w:t>2. 两表</w:t>
      </w:r>
    </w:p>
    <w:p>
      <w:r>
        <w:rPr>
          <w:rFonts w:ascii="Arial Unicode MS" w:hAnsi="Arial Unicode MS" w:eastAsia="Arial Unicode MS"/>
          <w:b w:val="0"/>
          <w:color w:val="000000"/>
          <w:sz w:val="21"/>
        </w:rPr>
        <w:t>两表指“标准病案采集表”和“100 例病案总登记表”。</w:t>
      </w:r>
    </w:p>
    <w:p>
      <w:pPr>
        <w:pStyle w:val="ListNumber"/>
      </w:pPr>
      <w:r>
        <w:rPr>
          <w:rFonts w:ascii="Arial Unicode MS" w:hAnsi="Arial Unicode MS" w:eastAsia="Arial Unicode MS"/>
          <w:b w:val="0"/>
          <w:color w:val="000000"/>
          <w:sz w:val="21"/>
        </w:rPr>
        <w:t>标准病案采集表用于单例病案的完整采集。</w:t>
      </w:r>
    </w:p>
    <w:p>
      <w:pPr>
        <w:pStyle w:val="ListNumber"/>
      </w:pPr>
      <w:r>
        <w:rPr>
          <w:rFonts w:ascii="Arial Unicode MS" w:hAnsi="Arial Unicode MS" w:eastAsia="Arial Unicode MS"/>
          <w:b w:val="0"/>
          <w:color w:val="000000"/>
          <w:sz w:val="21"/>
        </w:rPr>
        <w:t>100 例病案总登记表用于病案库台账管理、状态追踪、疗效评价和质控。</w:t>
      </w:r>
    </w:p>
    <w:p>
      <w:pPr>
        <w:pStyle w:val="Heading2"/>
      </w:pPr>
      <w:r>
        <w:t>3. 三规范</w:t>
      </w:r>
    </w:p>
    <w:p>
      <w:r>
        <w:rPr>
          <w:rFonts w:ascii="Arial Unicode MS" w:hAnsi="Arial Unicode MS" w:eastAsia="Arial Unicode MS"/>
          <w:b w:val="0"/>
          <w:color w:val="000000"/>
          <w:sz w:val="21"/>
        </w:rPr>
        <w:t>三规范包括：</w:t>
      </w:r>
    </w:p>
    <w:p>
      <w:pPr>
        <w:pStyle w:val="ListNumber"/>
      </w:pPr>
      <w:r>
        <w:rPr>
          <w:rFonts w:ascii="Arial Unicode MS" w:hAnsi="Arial Unicode MS" w:eastAsia="Arial Unicode MS"/>
          <w:b w:val="0"/>
          <w:color w:val="000000"/>
          <w:sz w:val="21"/>
        </w:rPr>
        <w:t>《泰山经方标准化诊疗法学术纲要》：回答本流派是什么。</w:t>
      </w:r>
    </w:p>
    <w:p>
      <w:pPr>
        <w:pStyle w:val="ListNumber"/>
      </w:pPr>
      <w:r>
        <w:rPr>
          <w:rFonts w:ascii="Arial Unicode MS" w:hAnsi="Arial Unicode MS" w:eastAsia="Arial Unicode MS"/>
          <w:b w:val="0"/>
          <w:color w:val="000000"/>
          <w:sz w:val="21"/>
        </w:rPr>
        <w:t>《泰山经方标准化诊疗法临床操作规范》：回答临床怎么做。</w:t>
      </w:r>
    </w:p>
    <w:p>
      <w:pPr>
        <w:pStyle w:val="ListNumber"/>
      </w:pPr>
      <w:r>
        <w:rPr>
          <w:rFonts w:ascii="Arial Unicode MS" w:hAnsi="Arial Unicode MS" w:eastAsia="Arial Unicode MS"/>
          <w:b w:val="0"/>
          <w:color w:val="000000"/>
          <w:sz w:val="21"/>
        </w:rPr>
        <w:t>《泰山经方数字化传承建设报告》：回答数字化传承怎么建。</w:t>
      </w:r>
    </w:p>
    <w:p>
      <w:pPr>
        <w:pStyle w:val="Heading2"/>
      </w:pPr>
      <w:r>
        <w:t>4. 四平台</w:t>
      </w:r>
    </w:p>
    <w:tbl>
      <w:tblPr>
        <w:tblStyle w:val="TableGrid"/>
        <w:tblW w:type="auto" w:w="0"/>
        <w:tblLayout w:type="fixed"/>
        <w:tblLook w:firstColumn="1" w:firstRow="1" w:lastColumn="0" w:lastRow="0" w:noHBand="0" w:noVBand="1" w:val="04A0"/>
      </w:tblPr>
      <w:tblGrid>
        <w:gridCol w:w="4680"/>
        <w:gridCol w:w="4680"/>
      </w:tblGrid>
      <w:tr>
        <w:tc>
          <w:tcPr>
            <w:tcW w:type="dxa" w:w="468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平台</w:t>
            </w:r>
          </w:p>
        </w:tc>
        <w:tc>
          <w:tcPr>
            <w:tcW w:type="dxa" w:w="468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功能</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非遗数字档案平台</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保存口述、课程、证书、图片、视频和传承资料</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临床病案平台</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管理首诊、复诊、疗效评价、失败分析和脱敏教学稿</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医师辅助软件平台</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支持干支推演、五诊采集、脉诊录入、方证合参和报告生成</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教学传播平台</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支撑课程、讲义、病案复盘、白皮书和对外传播素材</w:t>
            </w:r>
          </w:p>
        </w:tc>
      </w:tr>
    </w:tbl>
    <w:p/>
    <w:p>
      <w:pPr>
        <w:pStyle w:val="Heading2"/>
      </w:pPr>
      <w:r>
        <w:t>5. 五体系</w:t>
      </w:r>
    </w:p>
    <w:p>
      <w:r>
        <w:rPr>
          <w:rFonts w:ascii="Arial Unicode MS" w:hAnsi="Arial Unicode MS" w:eastAsia="Arial Unicode MS"/>
          <w:b w:val="0"/>
          <w:color w:val="000000"/>
          <w:sz w:val="21"/>
        </w:rPr>
        <w:t>五体系包括理论体系、诊法体系、方证体系、证据体系和传承体系。</w:t>
      </w:r>
    </w:p>
    <w:p>
      <w:pPr>
        <w:pStyle w:val="Heading1"/>
      </w:pPr>
      <w:r>
        <w:t>五、已完成建设成果</w:t>
      </w:r>
    </w:p>
    <w:p>
      <w:pPr>
        <w:pStyle w:val="Heading2"/>
      </w:pPr>
      <w:r>
        <w:t>1. 本地知识库框架已经建立</w:t>
      </w:r>
    </w:p>
    <w:p>
      <w:r>
        <w:rPr>
          <w:rFonts w:ascii="Arial Unicode MS" w:hAnsi="Arial Unicode MS" w:eastAsia="Arial Unicode MS"/>
          <w:b w:val="0"/>
          <w:color w:val="000000"/>
          <w:sz w:val="21"/>
        </w:rPr>
        <w:t>已建立“泰山经方数字传承资料库”总目录，并形成总索引文件。资料库分区清楚，既能保存原始资料，也能沉淀整理后的知识成果。</w:t>
      </w:r>
    </w:p>
    <w:p>
      <w:r>
        <w:rPr>
          <w:rFonts w:ascii="Arial Unicode MS" w:hAnsi="Arial Unicode MS" w:eastAsia="Arial Unicode MS"/>
          <w:b w:val="0"/>
          <w:color w:val="000000"/>
          <w:sz w:val="21"/>
        </w:rPr>
        <w:t>当前主要分区包括：</w:t>
      </w:r>
    </w:p>
    <w:p>
      <w:pPr>
        <w:pStyle w:val="ListNumber"/>
      </w:pPr>
      <w:r>
        <w:rPr>
          <w:rFonts w:ascii="Arial Unicode MS" w:hAnsi="Arial Unicode MS" w:eastAsia="Arial Unicode MS"/>
          <w:b w:val="0"/>
          <w:color w:val="000000"/>
          <w:sz w:val="21"/>
        </w:rPr>
        <w:t>`01_项目总档案`：保存学术纲要、白皮书、发展规划、建设报告等总纲文件。</w:t>
      </w:r>
    </w:p>
    <w:p>
      <w:pPr>
        <w:pStyle w:val="ListNumber"/>
      </w:pPr>
      <w:r>
        <w:rPr>
          <w:rFonts w:ascii="Arial Unicode MS" w:hAnsi="Arial Unicode MS" w:eastAsia="Arial Unicode MS"/>
          <w:b w:val="0"/>
          <w:color w:val="000000"/>
          <w:sz w:val="21"/>
        </w:rPr>
        <w:t>`05_方剂知识库`：保存方剂资料和五味组方规则。</w:t>
      </w:r>
    </w:p>
    <w:p>
      <w:pPr>
        <w:pStyle w:val="ListNumber"/>
      </w:pPr>
      <w:r>
        <w:rPr>
          <w:rFonts w:ascii="Arial Unicode MS" w:hAnsi="Arial Unicode MS" w:eastAsia="Arial Unicode MS"/>
          <w:b w:val="0"/>
          <w:color w:val="000000"/>
          <w:sz w:val="21"/>
        </w:rPr>
        <w:t>`06_医案资料库`：保存医案模板、标准病案、疗效反馈和 100 例标准病案库。</w:t>
      </w:r>
    </w:p>
    <w:p>
      <w:pPr>
        <w:pStyle w:val="ListNumber"/>
      </w:pPr>
      <w:r>
        <w:rPr>
          <w:rFonts w:ascii="Arial Unicode MS" w:hAnsi="Arial Unicode MS" w:eastAsia="Arial Unicode MS"/>
          <w:b w:val="0"/>
          <w:color w:val="000000"/>
          <w:sz w:val="21"/>
        </w:rPr>
        <w:t>`07_标准化诊疗流程`：保存接诊、五诊、脉诊、合参、临床操作规范等流程文件。</w:t>
      </w:r>
    </w:p>
    <w:p>
      <w:pPr>
        <w:pStyle w:val="ListNumber"/>
      </w:pPr>
      <w:r>
        <w:rPr>
          <w:rFonts w:ascii="Arial Unicode MS" w:hAnsi="Arial Unicode MS" w:eastAsia="Arial Unicode MS"/>
          <w:b w:val="0"/>
          <w:color w:val="000000"/>
          <w:sz w:val="21"/>
        </w:rPr>
        <w:t>`13_外部导入原始资料`：保存从桌面、下载、外接硬盘和旧系统导入的原始资料。</w:t>
      </w:r>
    </w:p>
    <w:p>
      <w:pPr>
        <w:pStyle w:val="ListNumber"/>
      </w:pPr>
      <w:r>
        <w:rPr>
          <w:rFonts w:ascii="Arial Unicode MS" w:hAnsi="Arial Unicode MS" w:eastAsia="Arial Unicode MS"/>
          <w:b w:val="0"/>
          <w:color w:val="000000"/>
          <w:sz w:val="21"/>
        </w:rPr>
        <w:t>`14_本地学习笔记`：保存每批资料学习与整理结论。</w:t>
      </w:r>
    </w:p>
    <w:p>
      <w:pPr>
        <w:pStyle w:val="ListNumber"/>
      </w:pPr>
      <w:r>
        <w:rPr>
          <w:rFonts w:ascii="Arial Unicode MS" w:hAnsi="Arial Unicode MS" w:eastAsia="Arial Unicode MS"/>
          <w:b w:val="0"/>
          <w:color w:val="000000"/>
          <w:sz w:val="21"/>
        </w:rPr>
        <w:t>`16_一期本地WebMVP` 与 `17_神农指本地重写版`：保存本地软件原型和旧系统重写成果。</w:t>
      </w:r>
    </w:p>
    <w:p>
      <w:pPr>
        <w:pStyle w:val="Heading2"/>
      </w:pPr>
      <w:r>
        <w:t>2. 核心学术文件已经形成</w:t>
      </w:r>
    </w:p>
    <w:p>
      <w:r>
        <w:rPr>
          <w:rFonts w:ascii="Arial Unicode MS" w:hAnsi="Arial Unicode MS" w:eastAsia="Arial Unicode MS"/>
          <w:b w:val="0"/>
          <w:color w:val="000000"/>
          <w:sz w:val="21"/>
        </w:rPr>
        <w:t>已形成以下核心文本：</w:t>
      </w:r>
    </w:p>
    <w:tbl>
      <w:tblPr>
        <w:tblStyle w:val="TableGrid"/>
        <w:tblW w:type="auto" w:w="0"/>
        <w:tblLayout w:type="fixed"/>
        <w:tblLook w:firstColumn="1" w:firstRow="1" w:lastColumn="0" w:lastRow="0" w:noHBand="0" w:noVBand="1" w:val="04A0"/>
      </w:tblPr>
      <w:tblGrid>
        <w:gridCol w:w="4680"/>
        <w:gridCol w:w="4680"/>
      </w:tblGrid>
      <w:tr>
        <w:tc>
          <w:tcPr>
            <w:tcW w:type="dxa" w:w="468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文件</w:t>
            </w:r>
          </w:p>
        </w:tc>
        <w:tc>
          <w:tcPr>
            <w:tcW w:type="dxa" w:w="468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作用</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《泰山经方标准化诊疗法学术纲要》</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建立流派名称、宗旨、源流、定义、理论观和发展愿景</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《泰山经方标准化诊疗法白皮书》</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面向政府、机构、学界和合作方说明战略价值</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《泰山经方标准化诊疗法临床操作规范》</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将流派理论转化为临床 SOP</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《泰山经方标准病案采集表》</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支撑单例病案标准化采集</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《100例标准病案库》</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支撑真实世界证据建设</w:t>
            </w:r>
          </w:p>
        </w:tc>
      </w:tr>
    </w:tbl>
    <w:p/>
    <w:p>
      <w:pPr>
        <w:pStyle w:val="Heading2"/>
      </w:pPr>
      <w:r>
        <w:t>3. 标准病案体系已经启动</w:t>
      </w:r>
    </w:p>
    <w:p>
      <w:r>
        <w:rPr>
          <w:rFonts w:ascii="Arial Unicode MS" w:hAnsi="Arial Unicode MS" w:eastAsia="Arial Unicode MS"/>
          <w:b w:val="0"/>
          <w:color w:val="000000"/>
          <w:sz w:val="21"/>
        </w:rPr>
        <w:t>已建立 100 例标准病案库框架，编号为 `TSJF-0001` 至 `TSJF-0100`。每例病案模板均包含首诊、方证判断、处方、复诊、疗效评价、失败分析、教学提炼和脱敏审查。</w:t>
      </w:r>
    </w:p>
    <w:p>
      <w:r>
        <w:rPr>
          <w:rFonts w:ascii="Arial Unicode MS" w:hAnsi="Arial Unicode MS" w:eastAsia="Arial Unicode MS"/>
          <w:b w:val="0"/>
          <w:color w:val="000000"/>
          <w:sz w:val="21"/>
        </w:rPr>
        <w:t>需要特别说明：当前已经完成的是“标准病案库框架建设”，不是 100 例真实病例内容全部完成。后续必须逐例录入真实、完整、可复核的临床资料，不能虚构病例。</w:t>
      </w:r>
    </w:p>
    <w:p>
      <w:pPr>
        <w:pStyle w:val="Heading2"/>
      </w:pPr>
      <w:r>
        <w:t>4. 外部资料导入和去重已经开展</w:t>
      </w:r>
    </w:p>
    <w:p>
      <w:r>
        <w:rPr>
          <w:rFonts w:ascii="Arial Unicode MS" w:hAnsi="Arial Unicode MS" w:eastAsia="Arial Unicode MS"/>
          <w:b w:val="0"/>
          <w:color w:val="000000"/>
          <w:sz w:val="21"/>
        </w:rPr>
        <w:t>已对外接硬盘“建工医院”资料进行归类与去重，建立本地索引和快捷入口。知识候选资料 1476 个，去重后保留 1032 个，并按标准化体系、经方算法表、病案医案、课程课件、非遗申报资质、软件系统源码、古籍文献、图片影像素材等类别归档。</w:t>
      </w:r>
    </w:p>
    <w:p>
      <w:r>
        <w:rPr>
          <w:rFonts w:ascii="Arial Unicode MS" w:hAnsi="Arial Unicode MS" w:eastAsia="Arial Unicode MS"/>
          <w:b w:val="0"/>
          <w:color w:val="000000"/>
          <w:sz w:val="21"/>
        </w:rPr>
        <w:t>已导入王茂林数据源 12 个核心表格，包括 `2.xlsx`、`4.xlsx`、`5.xlsx`、`6.xlsx`、`7.xlsx`、`8.xlsx`、`9.xlsx`、`13.xlsx`、`14.xlsx`、`15-1.xlsx`、`15-2.xlsx`、`18.xlsx`，并生成工作表结构统计和校验清单。</w:t>
      </w:r>
    </w:p>
    <w:p>
      <w:pPr>
        <w:pStyle w:val="Heading2"/>
      </w:pPr>
      <w:r>
        <w:t>5. 本地软件原型已经建立</w:t>
      </w:r>
    </w:p>
    <w:p>
      <w:r>
        <w:rPr>
          <w:rFonts w:ascii="Arial Unicode MS" w:hAnsi="Arial Unicode MS" w:eastAsia="Arial Unicode MS"/>
          <w:b w:val="0"/>
          <w:color w:val="000000"/>
          <w:sz w:val="21"/>
        </w:rPr>
        <w:t>已完成一期本地 Web MVP 和神农指本地重写版。现阶段软件定位为本地规则分析和医师辅助工具，已经围绕患者信息、出生日期、属相、发病日干支、八类证鉴别树、难经五诊、难经脉诊、运气推演、方证候选、IMA 合参等模块进行设计。</w:t>
      </w:r>
    </w:p>
    <w:p>
      <w:r>
        <w:rPr>
          <w:rFonts w:ascii="Arial Unicode MS" w:hAnsi="Arial Unicode MS" w:eastAsia="Arial Unicode MS"/>
          <w:b w:val="0"/>
          <w:color w:val="000000"/>
          <w:sz w:val="21"/>
        </w:rPr>
        <w:t>下一步软件应继续围绕“本地优先、医师复核、数据可导出、规则可校验、患者隐私不外传”完善。</w:t>
      </w:r>
    </w:p>
    <w:p>
      <w:pPr>
        <w:pStyle w:val="Heading1"/>
      </w:pPr>
      <w:r>
        <w:t>六、数字化内容分层</w:t>
      </w:r>
    </w:p>
    <w:p>
      <w:r>
        <w:rPr>
          <w:rFonts w:ascii="Arial Unicode MS" w:hAnsi="Arial Unicode MS" w:eastAsia="Arial Unicode MS"/>
          <w:b w:val="0"/>
          <w:color w:val="000000"/>
          <w:sz w:val="21"/>
        </w:rPr>
        <w:t>泰山经方数字化传承内容分为五层。</w:t>
      </w:r>
    </w:p>
    <w:tbl>
      <w:tblPr>
        <w:tblStyle w:val="TableGrid"/>
        <w:tblW w:type="auto" w:w="0"/>
        <w:tblLayout w:type="fixed"/>
        <w:tblLook w:firstColumn="1" w:firstRow="1" w:lastColumn="0" w:lastRow="0" w:noHBand="0" w:noVBand="1" w:val="04A0"/>
      </w:tblPr>
      <w:tblGrid>
        <w:gridCol w:w="3120"/>
        <w:gridCol w:w="3120"/>
        <w:gridCol w:w="3120"/>
      </w:tblGrid>
      <w:tr>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层级</w:t>
            </w:r>
          </w:p>
        </w:tc>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内容</w:t>
            </w:r>
          </w:p>
        </w:tc>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处理方式</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原始资料层</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PDF、Word、Excel、图片、视频、聊天截图、旧系统源码</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保留原件，建立索引，不随意改动</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整理资料层</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学习笔记、资料清单、去重报告、结构统计</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标准命名，标注来源</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知识结构层</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方剂库、术语库、类证树、五诊表、脉诊表、推演表</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转为结构化数据</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临床证据层</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标准病案、复诊记录、疗效评价、失败分析</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脱敏、授权、质控后入库</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软件应用层</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本地 Web、微信小程序设计、机器人推送设计、报告生成</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医师辅助，不替代诊疗</w:t>
            </w:r>
          </w:p>
        </w:tc>
      </w:tr>
    </w:tbl>
    <w:p/>
    <w:p>
      <w:r>
        <w:rPr>
          <w:rFonts w:ascii="Arial Unicode MS" w:hAnsi="Arial Unicode MS" w:eastAsia="Arial Unicode MS"/>
          <w:b w:val="0"/>
          <w:color w:val="000000"/>
          <w:sz w:val="21"/>
        </w:rPr>
        <w:t>这种分层的好处是：原始资料可追溯，知识结构可复用，临床证据可分析，软件系统可迭代，公开传播可控。</w:t>
      </w:r>
    </w:p>
    <w:p>
      <w:pPr>
        <w:pStyle w:val="Heading1"/>
      </w:pPr>
      <w:r>
        <w:t>七、核心业务流程</w:t>
      </w:r>
    </w:p>
    <w:p>
      <w:pPr>
        <w:pStyle w:val="Heading2"/>
      </w:pPr>
      <w:r>
        <w:t>1. 资料入库流程</w:t>
      </w:r>
    </w:p>
    <w:p>
      <w:pPr>
        <w:pStyle w:val="ListNumber"/>
      </w:pPr>
      <w:r>
        <w:rPr>
          <w:rFonts w:ascii="Arial Unicode MS" w:hAnsi="Arial Unicode MS" w:eastAsia="Arial Unicode MS"/>
          <w:b w:val="0"/>
          <w:color w:val="000000"/>
          <w:sz w:val="21"/>
        </w:rPr>
        <w:t>收集原始资料。</w:t>
      </w:r>
    </w:p>
    <w:p>
      <w:pPr>
        <w:pStyle w:val="ListNumber"/>
      </w:pPr>
      <w:r>
        <w:rPr>
          <w:rFonts w:ascii="Arial Unicode MS" w:hAnsi="Arial Unicode MS" w:eastAsia="Arial Unicode MS"/>
          <w:b w:val="0"/>
          <w:color w:val="000000"/>
          <w:sz w:val="21"/>
        </w:rPr>
        <w:t>按来源建立导入目录。</w:t>
      </w:r>
    </w:p>
    <w:p>
      <w:pPr>
        <w:pStyle w:val="ListNumber"/>
      </w:pPr>
      <w:r>
        <w:rPr>
          <w:rFonts w:ascii="Arial Unicode MS" w:hAnsi="Arial Unicode MS" w:eastAsia="Arial Unicode MS"/>
          <w:b w:val="0"/>
          <w:color w:val="000000"/>
          <w:sz w:val="21"/>
        </w:rPr>
        <w:t>生成文件清单和哈希校验。</w:t>
      </w:r>
    </w:p>
    <w:p>
      <w:pPr>
        <w:pStyle w:val="ListNumber"/>
      </w:pPr>
      <w:r>
        <w:rPr>
          <w:rFonts w:ascii="Arial Unicode MS" w:hAnsi="Arial Unicode MS" w:eastAsia="Arial Unicode MS"/>
          <w:b w:val="0"/>
          <w:color w:val="000000"/>
          <w:sz w:val="21"/>
        </w:rPr>
        <w:t>判断是否重复。</w:t>
      </w:r>
    </w:p>
    <w:p>
      <w:pPr>
        <w:pStyle w:val="ListNumber"/>
      </w:pPr>
      <w:r>
        <w:rPr>
          <w:rFonts w:ascii="Arial Unicode MS" w:hAnsi="Arial Unicode MS" w:eastAsia="Arial Unicode MS"/>
          <w:b w:val="0"/>
          <w:color w:val="000000"/>
          <w:sz w:val="21"/>
        </w:rPr>
        <w:t>归入知识库对应分类。</w:t>
      </w:r>
    </w:p>
    <w:p>
      <w:pPr>
        <w:pStyle w:val="ListNumber"/>
      </w:pPr>
      <w:r>
        <w:rPr>
          <w:rFonts w:ascii="Arial Unicode MS" w:hAnsi="Arial Unicode MS" w:eastAsia="Arial Unicode MS"/>
          <w:b w:val="0"/>
          <w:color w:val="000000"/>
          <w:sz w:val="21"/>
        </w:rPr>
        <w:t>生成学习笔记或结构化表格。</w:t>
      </w:r>
    </w:p>
    <w:p>
      <w:pPr>
        <w:pStyle w:val="ListNumber"/>
      </w:pPr>
      <w:r>
        <w:rPr>
          <w:rFonts w:ascii="Arial Unicode MS" w:hAnsi="Arial Unicode MS" w:eastAsia="Arial Unicode MS"/>
          <w:b w:val="0"/>
          <w:color w:val="000000"/>
          <w:sz w:val="21"/>
        </w:rPr>
        <w:t>标注公开、内部、隐私、待复核等级。</w:t>
      </w:r>
    </w:p>
    <w:p>
      <w:pPr>
        <w:pStyle w:val="Heading2"/>
      </w:pPr>
      <w:r>
        <w:t>2. 病案入库流程</w:t>
      </w:r>
    </w:p>
    <w:p>
      <w:pPr>
        <w:pStyle w:val="ListNumber"/>
      </w:pPr>
      <w:r>
        <w:rPr>
          <w:rFonts w:ascii="Arial Unicode MS" w:hAnsi="Arial Unicode MS" w:eastAsia="Arial Unicode MS"/>
          <w:b w:val="0"/>
          <w:color w:val="000000"/>
          <w:sz w:val="21"/>
        </w:rPr>
        <w:t>从标准病案模板新建病例编号。</w:t>
      </w:r>
    </w:p>
    <w:p>
      <w:pPr>
        <w:pStyle w:val="ListNumber"/>
      </w:pPr>
      <w:r>
        <w:rPr>
          <w:rFonts w:ascii="Arial Unicode MS" w:hAnsi="Arial Unicode MS" w:eastAsia="Arial Unicode MS"/>
          <w:b w:val="0"/>
          <w:color w:val="000000"/>
          <w:sz w:val="21"/>
        </w:rPr>
        <w:t>完成首诊资料采集。</w:t>
      </w:r>
    </w:p>
    <w:p>
      <w:pPr>
        <w:pStyle w:val="ListNumber"/>
      </w:pPr>
      <w:r>
        <w:rPr>
          <w:rFonts w:ascii="Arial Unicode MS" w:hAnsi="Arial Unicode MS" w:eastAsia="Arial Unicode MS"/>
          <w:b w:val="0"/>
          <w:color w:val="000000"/>
          <w:sz w:val="21"/>
        </w:rPr>
        <w:t>完成五诊、脉诊、运气推演、类证树和方症评分。</w:t>
      </w:r>
    </w:p>
    <w:p>
      <w:pPr>
        <w:pStyle w:val="ListNumber"/>
      </w:pPr>
      <w:r>
        <w:rPr>
          <w:rFonts w:ascii="Arial Unicode MS" w:hAnsi="Arial Unicode MS" w:eastAsia="Arial Unicode MS"/>
          <w:b w:val="0"/>
          <w:color w:val="000000"/>
          <w:sz w:val="21"/>
        </w:rPr>
        <w:t>由医师完成最终方证判断和处方。</w:t>
      </w:r>
    </w:p>
    <w:p>
      <w:pPr>
        <w:pStyle w:val="ListNumber"/>
      </w:pPr>
      <w:r>
        <w:rPr>
          <w:rFonts w:ascii="Arial Unicode MS" w:hAnsi="Arial Unicode MS" w:eastAsia="Arial Unicode MS"/>
          <w:b w:val="0"/>
          <w:color w:val="000000"/>
          <w:sz w:val="21"/>
        </w:rPr>
        <w:t>追加复诊记录。</w:t>
      </w:r>
    </w:p>
    <w:p>
      <w:pPr>
        <w:pStyle w:val="ListNumber"/>
      </w:pPr>
      <w:r>
        <w:rPr>
          <w:rFonts w:ascii="Arial Unicode MS" w:hAnsi="Arial Unicode MS" w:eastAsia="Arial Unicode MS"/>
          <w:b w:val="0"/>
          <w:color w:val="000000"/>
          <w:sz w:val="21"/>
        </w:rPr>
        <w:t>填写疗效评价和失败分析。</w:t>
      </w:r>
    </w:p>
    <w:p>
      <w:pPr>
        <w:pStyle w:val="ListNumber"/>
      </w:pPr>
      <w:r>
        <w:rPr>
          <w:rFonts w:ascii="Arial Unicode MS" w:hAnsi="Arial Unicode MS" w:eastAsia="Arial Unicode MS"/>
          <w:b w:val="0"/>
          <w:color w:val="000000"/>
          <w:sz w:val="21"/>
        </w:rPr>
        <w:t>完成脱敏和授权审查。</w:t>
      </w:r>
    </w:p>
    <w:p>
      <w:pPr>
        <w:pStyle w:val="ListNumber"/>
      </w:pPr>
      <w:r>
        <w:rPr>
          <w:rFonts w:ascii="Arial Unicode MS" w:hAnsi="Arial Unicode MS" w:eastAsia="Arial Unicode MS"/>
          <w:b w:val="0"/>
          <w:color w:val="000000"/>
          <w:sz w:val="21"/>
        </w:rPr>
        <w:t>归入 100 例标准病案库或教学脱敏稿。</w:t>
      </w:r>
    </w:p>
    <w:p>
      <w:pPr>
        <w:pStyle w:val="Heading2"/>
      </w:pPr>
      <w:r>
        <w:t>3. 软件辅助流程</w:t>
      </w:r>
    </w:p>
    <w:p>
      <w:pPr>
        <w:pStyle w:val="ListNumber"/>
      </w:pPr>
      <w:r>
        <w:rPr>
          <w:rFonts w:ascii="Arial Unicode MS" w:hAnsi="Arial Unicode MS" w:eastAsia="Arial Unicode MS"/>
          <w:b w:val="0"/>
          <w:color w:val="000000"/>
          <w:sz w:val="21"/>
        </w:rPr>
        <w:t>患者或医师录入出生日期、性别、发病日期和主诉。</w:t>
      </w:r>
    </w:p>
    <w:p>
      <w:pPr>
        <w:pStyle w:val="ListNumber"/>
      </w:pPr>
      <w:r>
        <w:rPr>
          <w:rFonts w:ascii="Arial Unicode MS" w:hAnsi="Arial Unicode MS" w:eastAsia="Arial Unicode MS"/>
          <w:b w:val="0"/>
          <w:color w:val="000000"/>
          <w:sz w:val="21"/>
        </w:rPr>
        <w:t>系统自动关联年龄、属相、出生年地支、发病日干支。</w:t>
      </w:r>
    </w:p>
    <w:p>
      <w:pPr>
        <w:pStyle w:val="ListNumber"/>
      </w:pPr>
      <w:r>
        <w:rPr>
          <w:rFonts w:ascii="Arial Unicode MS" w:hAnsi="Arial Unicode MS" w:eastAsia="Arial Unicode MS"/>
          <w:b w:val="0"/>
          <w:color w:val="000000"/>
          <w:sz w:val="21"/>
        </w:rPr>
        <w:t>医师选择伤寒类证主诉和梯队兼证。</w:t>
      </w:r>
    </w:p>
    <w:p>
      <w:pPr>
        <w:pStyle w:val="ListNumber"/>
      </w:pPr>
      <w:r>
        <w:rPr>
          <w:rFonts w:ascii="Arial Unicode MS" w:hAnsi="Arial Unicode MS" w:eastAsia="Arial Unicode MS"/>
          <w:b w:val="0"/>
          <w:color w:val="000000"/>
          <w:sz w:val="21"/>
        </w:rPr>
        <w:t>医师录入难经五诊和脉诊结果。</w:t>
      </w:r>
    </w:p>
    <w:p>
      <w:pPr>
        <w:pStyle w:val="ListNumber"/>
      </w:pPr>
      <w:r>
        <w:rPr>
          <w:rFonts w:ascii="Arial Unicode MS" w:hAnsi="Arial Unicode MS" w:eastAsia="Arial Unicode MS"/>
          <w:b w:val="0"/>
          <w:color w:val="000000"/>
          <w:sz w:val="21"/>
        </w:rPr>
        <w:t>系统输出候选推演结果和候选方证。</w:t>
      </w:r>
    </w:p>
    <w:p>
      <w:pPr>
        <w:pStyle w:val="ListNumber"/>
      </w:pPr>
      <w:r>
        <w:rPr>
          <w:rFonts w:ascii="Arial Unicode MS" w:hAnsi="Arial Unicode MS" w:eastAsia="Arial Unicode MS"/>
          <w:b w:val="0"/>
          <w:color w:val="000000"/>
          <w:sz w:val="21"/>
        </w:rPr>
        <w:t>IMA 进行汇总合参和冲突提示。</w:t>
      </w:r>
    </w:p>
    <w:p>
      <w:pPr>
        <w:pStyle w:val="ListNumber"/>
      </w:pPr>
      <w:r>
        <w:rPr>
          <w:rFonts w:ascii="Arial Unicode MS" w:hAnsi="Arial Unicode MS" w:eastAsia="Arial Unicode MS"/>
          <w:b w:val="0"/>
          <w:color w:val="000000"/>
          <w:sz w:val="21"/>
        </w:rPr>
        <w:t>医师最终裁断方案。</w:t>
      </w:r>
    </w:p>
    <w:p>
      <w:pPr>
        <w:pStyle w:val="ListNumber"/>
      </w:pPr>
      <w:r>
        <w:rPr>
          <w:rFonts w:ascii="Arial Unicode MS" w:hAnsi="Arial Unicode MS" w:eastAsia="Arial Unicode MS"/>
          <w:b w:val="0"/>
          <w:color w:val="000000"/>
          <w:sz w:val="21"/>
        </w:rPr>
        <w:t>系统生成病案草稿、复诊记录和疗效评价模板。</w:t>
      </w:r>
    </w:p>
    <w:p>
      <w:pPr>
        <w:pStyle w:val="Heading2"/>
      </w:pPr>
      <w:r>
        <w:t>4. 对外传播流程</w:t>
      </w:r>
    </w:p>
    <w:p>
      <w:pPr>
        <w:pStyle w:val="ListNumber"/>
      </w:pPr>
      <w:r>
        <w:rPr>
          <w:rFonts w:ascii="Arial Unicode MS" w:hAnsi="Arial Unicode MS" w:eastAsia="Arial Unicode MS"/>
          <w:b w:val="0"/>
          <w:color w:val="000000"/>
          <w:sz w:val="21"/>
        </w:rPr>
        <w:t>从完整资料中筛选可公开内容。</w:t>
      </w:r>
    </w:p>
    <w:p>
      <w:pPr>
        <w:pStyle w:val="ListNumber"/>
      </w:pPr>
      <w:r>
        <w:rPr>
          <w:rFonts w:ascii="Arial Unicode MS" w:hAnsi="Arial Unicode MS" w:eastAsia="Arial Unicode MS"/>
          <w:b w:val="0"/>
          <w:color w:val="000000"/>
          <w:sz w:val="21"/>
        </w:rPr>
        <w:t>完成患者隐私脱敏。</w:t>
      </w:r>
    </w:p>
    <w:p>
      <w:pPr>
        <w:pStyle w:val="ListNumber"/>
      </w:pPr>
      <w:r>
        <w:rPr>
          <w:rFonts w:ascii="Arial Unicode MS" w:hAnsi="Arial Unicode MS" w:eastAsia="Arial Unicode MS"/>
          <w:b w:val="0"/>
          <w:color w:val="000000"/>
          <w:sz w:val="21"/>
        </w:rPr>
        <w:t>删除处方剂量、内部规则和高风险日研究细节。</w:t>
      </w:r>
    </w:p>
    <w:p>
      <w:pPr>
        <w:pStyle w:val="ListNumber"/>
      </w:pPr>
      <w:r>
        <w:rPr>
          <w:rFonts w:ascii="Arial Unicode MS" w:hAnsi="Arial Unicode MS" w:eastAsia="Arial Unicode MS"/>
          <w:b w:val="0"/>
          <w:color w:val="000000"/>
          <w:sz w:val="21"/>
        </w:rPr>
        <w:t>经传承人或授权复核人审核。</w:t>
      </w:r>
    </w:p>
    <w:p>
      <w:pPr>
        <w:pStyle w:val="ListNumber"/>
      </w:pPr>
      <w:r>
        <w:rPr>
          <w:rFonts w:ascii="Arial Unicode MS" w:hAnsi="Arial Unicode MS" w:eastAsia="Arial Unicode MS"/>
          <w:b w:val="0"/>
          <w:color w:val="000000"/>
          <w:sz w:val="21"/>
        </w:rPr>
        <w:t>生成科普、课程、白皮书、汇报材料或教学案例。</w:t>
      </w:r>
    </w:p>
    <w:p>
      <w:pPr>
        <w:pStyle w:val="ListNumber"/>
      </w:pPr>
      <w:r>
        <w:rPr>
          <w:rFonts w:ascii="Arial Unicode MS" w:hAnsi="Arial Unicode MS" w:eastAsia="Arial Unicode MS"/>
          <w:b w:val="0"/>
          <w:color w:val="000000"/>
          <w:sz w:val="21"/>
        </w:rPr>
        <w:t>标注发布时间、版本和适用边界。</w:t>
      </w:r>
    </w:p>
    <w:p>
      <w:pPr>
        <w:pStyle w:val="Heading1"/>
      </w:pPr>
      <w:r>
        <w:t>八、数据安全与知识产权保护</w:t>
      </w:r>
    </w:p>
    <w:p>
      <w:pPr>
        <w:pStyle w:val="Heading2"/>
      </w:pPr>
      <w:r>
        <w:t>1. 数据分类</w:t>
      </w:r>
    </w:p>
    <w:tbl>
      <w:tblPr>
        <w:tblStyle w:val="TableGrid"/>
        <w:tblW w:type="auto" w:w="0"/>
        <w:tblLayout w:type="fixed"/>
        <w:tblLook w:firstColumn="1" w:firstRow="1" w:lastColumn="0" w:lastRow="0" w:noHBand="0" w:noVBand="1" w:val="04A0"/>
      </w:tblPr>
      <w:tblGrid>
        <w:gridCol w:w="3120"/>
        <w:gridCol w:w="3120"/>
        <w:gridCol w:w="3120"/>
      </w:tblGrid>
      <w:tr>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等级</w:t>
            </w:r>
          </w:p>
        </w:tc>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内容</w:t>
            </w:r>
          </w:p>
        </w:tc>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管理要求</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公开资料</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白皮书、公开课程、脱敏科普</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可对外传播</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内部资料</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操作规范、教学课件、方证表、软件设计</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限授权团队使用</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私密资料</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完整病案、处方剂量、聊天截图、患者信息</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本地保存，严格权限</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秘传资料</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内部未公开规则、核心推演细节、传承人口授心法</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不进入公开文档和普通软件输出</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待复核资料</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OCR 结果、旧系统数据、未校验表格</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不直接用于临床定方</w:t>
            </w:r>
          </w:p>
        </w:tc>
      </w:tr>
    </w:tbl>
    <w:p/>
    <w:p>
      <w:pPr>
        <w:pStyle w:val="Heading2"/>
      </w:pPr>
      <w:r>
        <w:t>2. 隐私保护要求</w:t>
      </w:r>
    </w:p>
    <w:p>
      <w:pPr>
        <w:pStyle w:val="ListNumber"/>
      </w:pPr>
      <w:r>
        <w:rPr>
          <w:rFonts w:ascii="Arial Unicode MS" w:hAnsi="Arial Unicode MS" w:eastAsia="Arial Unicode MS"/>
          <w:b w:val="0"/>
          <w:color w:val="000000"/>
          <w:sz w:val="21"/>
        </w:rPr>
        <w:t>患者完整资料不上传云端。</w:t>
      </w:r>
    </w:p>
    <w:p>
      <w:pPr>
        <w:pStyle w:val="ListNumber"/>
      </w:pPr>
      <w:r>
        <w:rPr>
          <w:rFonts w:ascii="Arial Unicode MS" w:hAnsi="Arial Unicode MS" w:eastAsia="Arial Unicode MS"/>
          <w:b w:val="0"/>
          <w:color w:val="000000"/>
          <w:sz w:val="21"/>
        </w:rPr>
        <w:t>原始聊天截图不得直接进入公开材料。</w:t>
      </w:r>
    </w:p>
    <w:p>
      <w:pPr>
        <w:pStyle w:val="ListNumber"/>
      </w:pPr>
      <w:r>
        <w:rPr>
          <w:rFonts w:ascii="Arial Unicode MS" w:hAnsi="Arial Unicode MS" w:eastAsia="Arial Unicode MS"/>
          <w:b w:val="0"/>
          <w:color w:val="000000"/>
          <w:sz w:val="21"/>
        </w:rPr>
        <w:t>公开稿必须删除姓名、手机号、身份证号、详细住址、头像、二维码、病历号。</w:t>
      </w:r>
    </w:p>
    <w:p>
      <w:pPr>
        <w:pStyle w:val="ListNumber"/>
      </w:pPr>
      <w:r>
        <w:rPr>
          <w:rFonts w:ascii="Arial Unicode MS" w:hAnsi="Arial Unicode MS" w:eastAsia="Arial Unicode MS"/>
          <w:b w:val="0"/>
          <w:color w:val="000000"/>
          <w:sz w:val="21"/>
        </w:rPr>
        <w:t>出生日期和就诊日期对外使用时应模糊化。</w:t>
      </w:r>
    </w:p>
    <w:p>
      <w:pPr>
        <w:pStyle w:val="ListNumber"/>
      </w:pPr>
      <w:r>
        <w:rPr>
          <w:rFonts w:ascii="Arial Unicode MS" w:hAnsi="Arial Unicode MS" w:eastAsia="Arial Unicode MS"/>
          <w:b w:val="0"/>
          <w:color w:val="000000"/>
          <w:sz w:val="21"/>
        </w:rPr>
        <w:t>处方剂量和内部未公开规则不进入公众科普。</w:t>
      </w:r>
    </w:p>
    <w:p>
      <w:pPr>
        <w:pStyle w:val="Heading2"/>
      </w:pPr>
      <w:r>
        <w:t>3. 知识产权保护要求</w:t>
      </w:r>
    </w:p>
    <w:p>
      <w:pPr>
        <w:pStyle w:val="ListNumber"/>
      </w:pPr>
      <w:r>
        <w:rPr>
          <w:rFonts w:ascii="Arial Unicode MS" w:hAnsi="Arial Unicode MS" w:eastAsia="Arial Unicode MS"/>
          <w:b w:val="0"/>
          <w:color w:val="000000"/>
          <w:sz w:val="21"/>
        </w:rPr>
        <w:t>保留原始文件来源、导入日期和校验信息。</w:t>
      </w:r>
    </w:p>
    <w:p>
      <w:pPr>
        <w:pStyle w:val="ListNumber"/>
      </w:pPr>
      <w:r>
        <w:rPr>
          <w:rFonts w:ascii="Arial Unicode MS" w:hAnsi="Arial Unicode MS" w:eastAsia="Arial Unicode MS"/>
          <w:b w:val="0"/>
          <w:color w:val="000000"/>
          <w:sz w:val="21"/>
        </w:rPr>
        <w:t>对核心表格、软件源码、课程资料和原创文档建立版本管理。</w:t>
      </w:r>
    </w:p>
    <w:p>
      <w:pPr>
        <w:pStyle w:val="ListNumber"/>
      </w:pPr>
      <w:r>
        <w:rPr>
          <w:rFonts w:ascii="Arial Unicode MS" w:hAnsi="Arial Unicode MS" w:eastAsia="Arial Unicode MS"/>
          <w:b w:val="0"/>
          <w:color w:val="000000"/>
          <w:sz w:val="21"/>
        </w:rPr>
        <w:t>对外合作前明确授权范围、数据边界和成果归属。</w:t>
      </w:r>
    </w:p>
    <w:p>
      <w:pPr>
        <w:pStyle w:val="ListNumber"/>
      </w:pPr>
      <w:r>
        <w:rPr>
          <w:rFonts w:ascii="Arial Unicode MS" w:hAnsi="Arial Unicode MS" w:eastAsia="Arial Unicode MS"/>
          <w:b w:val="0"/>
          <w:color w:val="000000"/>
          <w:sz w:val="21"/>
        </w:rPr>
        <w:t>公开材料只展示可传播层内容，核心规则和完整数据另行保护。</w:t>
      </w:r>
    </w:p>
    <w:p>
      <w:pPr>
        <w:pStyle w:val="Heading1"/>
      </w:pPr>
      <w:r>
        <w:t>九、软件建设路线</w:t>
      </w:r>
    </w:p>
    <w:p>
      <w:pPr>
        <w:pStyle w:val="Heading2"/>
      </w:pPr>
      <w:r>
        <w:t>1. 当前阶段</w:t>
      </w:r>
    </w:p>
    <w:p>
      <w:r>
        <w:rPr>
          <w:rFonts w:ascii="Arial Unicode MS" w:hAnsi="Arial Unicode MS" w:eastAsia="Arial Unicode MS"/>
          <w:b w:val="0"/>
          <w:color w:val="000000"/>
          <w:sz w:val="21"/>
        </w:rPr>
        <w:t>当前已经完成本地 Web MVP 和神农指本地重写版，主要用于验证界面、流程、规则录入和本地运行能力。</w:t>
      </w:r>
    </w:p>
    <w:p>
      <w:pPr>
        <w:pStyle w:val="Heading2"/>
      </w:pPr>
      <w:r>
        <w:t>2. 第一阶段：本地医师辅助工具</w:t>
      </w:r>
    </w:p>
    <w:p>
      <w:r>
        <w:rPr>
          <w:rFonts w:ascii="Arial Unicode MS" w:hAnsi="Arial Unicode MS" w:eastAsia="Arial Unicode MS"/>
          <w:b w:val="0"/>
          <w:color w:val="000000"/>
          <w:sz w:val="21"/>
        </w:rPr>
        <w:t>重点建设：</w:t>
      </w:r>
    </w:p>
    <w:p>
      <w:pPr>
        <w:pStyle w:val="ListNumber"/>
      </w:pPr>
      <w:r>
        <w:rPr>
          <w:rFonts w:ascii="Arial Unicode MS" w:hAnsi="Arial Unicode MS" w:eastAsia="Arial Unicode MS"/>
          <w:b w:val="0"/>
          <w:color w:val="000000"/>
          <w:sz w:val="21"/>
        </w:rPr>
        <w:t>患者基础信息管理。</w:t>
      </w:r>
    </w:p>
    <w:p>
      <w:pPr>
        <w:pStyle w:val="ListNumber"/>
      </w:pPr>
      <w:r>
        <w:rPr>
          <w:rFonts w:ascii="Arial Unicode MS" w:hAnsi="Arial Unicode MS" w:eastAsia="Arial Unicode MS"/>
          <w:b w:val="0"/>
          <w:color w:val="000000"/>
          <w:sz w:val="21"/>
        </w:rPr>
        <w:t>出生日期自动关联年龄、属相、出生年地支。</w:t>
      </w:r>
    </w:p>
    <w:p>
      <w:pPr>
        <w:pStyle w:val="ListNumber"/>
      </w:pPr>
      <w:r>
        <w:rPr>
          <w:rFonts w:ascii="Arial Unicode MS" w:hAnsi="Arial Unicode MS" w:eastAsia="Arial Unicode MS"/>
          <w:b w:val="0"/>
          <w:color w:val="000000"/>
          <w:sz w:val="21"/>
        </w:rPr>
        <w:t>发病日期自动推导发病日干支。</w:t>
      </w:r>
    </w:p>
    <w:p>
      <w:pPr>
        <w:pStyle w:val="ListNumber"/>
      </w:pPr>
      <w:r>
        <w:rPr>
          <w:rFonts w:ascii="Arial Unicode MS" w:hAnsi="Arial Unicode MS" w:eastAsia="Arial Unicode MS"/>
          <w:b w:val="0"/>
          <w:color w:val="000000"/>
          <w:sz w:val="21"/>
        </w:rPr>
        <w:t>八类证或伤寒类证树形选择。</w:t>
      </w:r>
    </w:p>
    <w:p>
      <w:pPr>
        <w:pStyle w:val="ListNumber"/>
      </w:pPr>
      <w:r>
        <w:rPr>
          <w:rFonts w:ascii="Arial Unicode MS" w:hAnsi="Arial Unicode MS" w:eastAsia="Arial Unicode MS"/>
          <w:b w:val="0"/>
          <w:color w:val="000000"/>
          <w:sz w:val="21"/>
        </w:rPr>
        <w:t>五诊、脉诊、运气推演和方症评分录入。</w:t>
      </w:r>
    </w:p>
    <w:p>
      <w:pPr>
        <w:pStyle w:val="ListNumber"/>
      </w:pPr>
      <w:r>
        <w:rPr>
          <w:rFonts w:ascii="Arial Unicode MS" w:hAnsi="Arial Unicode MS" w:eastAsia="Arial Unicode MS"/>
          <w:b w:val="0"/>
          <w:color w:val="000000"/>
          <w:sz w:val="21"/>
        </w:rPr>
        <w:t>IMA 汇总合参分析。</w:t>
      </w:r>
    </w:p>
    <w:p>
      <w:pPr>
        <w:pStyle w:val="ListNumber"/>
      </w:pPr>
      <w:r>
        <w:rPr>
          <w:rFonts w:ascii="Arial Unicode MS" w:hAnsi="Arial Unicode MS" w:eastAsia="Arial Unicode MS"/>
          <w:b w:val="0"/>
          <w:color w:val="000000"/>
          <w:sz w:val="21"/>
        </w:rPr>
        <w:t>标准病案 Markdown/JSON 导出。</w:t>
      </w:r>
    </w:p>
    <w:p>
      <w:pPr>
        <w:pStyle w:val="ListNumber"/>
      </w:pPr>
      <w:r>
        <w:rPr>
          <w:rFonts w:ascii="Arial Unicode MS" w:hAnsi="Arial Unicode MS" w:eastAsia="Arial Unicode MS"/>
          <w:b w:val="0"/>
          <w:color w:val="000000"/>
          <w:sz w:val="21"/>
        </w:rPr>
        <w:t>本地浏览器或本地数据库保存。</w:t>
      </w:r>
    </w:p>
    <w:p>
      <w:pPr>
        <w:pStyle w:val="Heading2"/>
      </w:pPr>
      <w:r>
        <w:t>3. 第二阶段：传承教学与病案质控工具</w:t>
      </w:r>
    </w:p>
    <w:p>
      <w:r>
        <w:rPr>
          <w:rFonts w:ascii="Arial Unicode MS" w:hAnsi="Arial Unicode MS" w:eastAsia="Arial Unicode MS"/>
          <w:b w:val="0"/>
          <w:color w:val="000000"/>
          <w:sz w:val="21"/>
        </w:rPr>
        <w:t>重点建设：</w:t>
      </w:r>
    </w:p>
    <w:p>
      <w:pPr>
        <w:pStyle w:val="ListNumber"/>
      </w:pPr>
      <w:r>
        <w:rPr>
          <w:rFonts w:ascii="Arial Unicode MS" w:hAnsi="Arial Unicode MS" w:eastAsia="Arial Unicode MS"/>
          <w:b w:val="0"/>
          <w:color w:val="000000"/>
          <w:sz w:val="21"/>
        </w:rPr>
        <w:t>学员训练模式。</w:t>
      </w:r>
    </w:p>
    <w:p>
      <w:pPr>
        <w:pStyle w:val="ListNumber"/>
      </w:pPr>
      <w:r>
        <w:rPr>
          <w:rFonts w:ascii="Arial Unicode MS" w:hAnsi="Arial Unicode MS" w:eastAsia="Arial Unicode MS"/>
          <w:b w:val="0"/>
          <w:color w:val="000000"/>
          <w:sz w:val="21"/>
        </w:rPr>
        <w:t>病案质控清单自动提醒。</w:t>
      </w:r>
    </w:p>
    <w:p>
      <w:pPr>
        <w:pStyle w:val="ListNumber"/>
      </w:pPr>
      <w:r>
        <w:rPr>
          <w:rFonts w:ascii="Arial Unicode MS" w:hAnsi="Arial Unicode MS" w:eastAsia="Arial Unicode MS"/>
          <w:b w:val="0"/>
          <w:color w:val="000000"/>
          <w:sz w:val="21"/>
        </w:rPr>
        <w:t>方证判断理由填写提示。</w:t>
      </w:r>
    </w:p>
    <w:p>
      <w:pPr>
        <w:pStyle w:val="ListNumber"/>
      </w:pPr>
      <w:r>
        <w:rPr>
          <w:rFonts w:ascii="Arial Unicode MS" w:hAnsi="Arial Unicode MS" w:eastAsia="Arial Unicode MS"/>
          <w:b w:val="0"/>
          <w:color w:val="000000"/>
          <w:sz w:val="21"/>
        </w:rPr>
        <w:t>失败分析触发提醒。</w:t>
      </w:r>
    </w:p>
    <w:p>
      <w:pPr>
        <w:pStyle w:val="ListNumber"/>
      </w:pPr>
      <w:r>
        <w:rPr>
          <w:rFonts w:ascii="Arial Unicode MS" w:hAnsi="Arial Unicode MS" w:eastAsia="Arial Unicode MS"/>
          <w:b w:val="0"/>
          <w:color w:val="000000"/>
          <w:sz w:val="21"/>
        </w:rPr>
        <w:t>教学脱敏稿一键生成。</w:t>
      </w:r>
    </w:p>
    <w:p>
      <w:pPr>
        <w:pStyle w:val="ListNumber"/>
      </w:pPr>
      <w:r>
        <w:rPr>
          <w:rFonts w:ascii="Arial Unicode MS" w:hAnsi="Arial Unicode MS" w:eastAsia="Arial Unicode MS"/>
          <w:b w:val="0"/>
          <w:color w:val="000000"/>
          <w:sz w:val="21"/>
        </w:rPr>
        <w:t>病案库统计和优势病种队列筛选。</w:t>
      </w:r>
    </w:p>
    <w:p>
      <w:pPr>
        <w:pStyle w:val="Heading2"/>
      </w:pPr>
      <w:r>
        <w:t>4. 第三阶段：微信小程序与机器人推送</w:t>
      </w:r>
    </w:p>
    <w:p>
      <w:r>
        <w:rPr>
          <w:rFonts w:ascii="Arial Unicode MS" w:hAnsi="Arial Unicode MS" w:eastAsia="Arial Unicode MS"/>
          <w:b w:val="0"/>
          <w:color w:val="000000"/>
          <w:sz w:val="21"/>
        </w:rPr>
        <w:t>小程序和机器人应坚持合规边界。可建设：</w:t>
      </w:r>
    </w:p>
    <w:p>
      <w:pPr>
        <w:pStyle w:val="ListNumber"/>
      </w:pPr>
      <w:r>
        <w:rPr>
          <w:rFonts w:ascii="Arial Unicode MS" w:hAnsi="Arial Unicode MS" w:eastAsia="Arial Unicode MS"/>
          <w:b w:val="0"/>
          <w:color w:val="000000"/>
          <w:sz w:val="21"/>
        </w:rPr>
        <w:t>用户注册时采集出生日期和性别。</w:t>
      </w:r>
    </w:p>
    <w:p>
      <w:pPr>
        <w:pStyle w:val="ListNumber"/>
      </w:pPr>
      <w:r>
        <w:rPr>
          <w:rFonts w:ascii="Arial Unicode MS" w:hAnsi="Arial Unicode MS" w:eastAsia="Arial Unicode MS"/>
          <w:b w:val="0"/>
          <w:color w:val="000000"/>
          <w:sz w:val="21"/>
        </w:rPr>
        <w:t>输出先天体质报告 PDF。</w:t>
      </w:r>
    </w:p>
    <w:p>
      <w:pPr>
        <w:pStyle w:val="ListNumber"/>
      </w:pPr>
      <w:r>
        <w:rPr>
          <w:rFonts w:ascii="Arial Unicode MS" w:hAnsi="Arial Unicode MS" w:eastAsia="Arial Unicode MS"/>
          <w:b w:val="0"/>
          <w:color w:val="000000"/>
          <w:sz w:val="21"/>
        </w:rPr>
        <w:t>按出生年地支、性别和每日干支推送经络疏通建议和食疗建议。</w:t>
      </w:r>
    </w:p>
    <w:p>
      <w:pPr>
        <w:pStyle w:val="ListNumber"/>
      </w:pPr>
      <w:r>
        <w:rPr>
          <w:rFonts w:ascii="Arial Unicode MS" w:hAnsi="Arial Unicode MS" w:eastAsia="Arial Unicode MS"/>
          <w:b w:val="0"/>
          <w:color w:val="000000"/>
          <w:sz w:val="21"/>
        </w:rPr>
        <w:t>对患者明确标注“健康调护建议，不替代诊疗”。</w:t>
      </w:r>
    </w:p>
    <w:p>
      <w:pPr>
        <w:pStyle w:val="ListNumber"/>
      </w:pPr>
      <w:r>
        <w:rPr>
          <w:rFonts w:ascii="Arial Unicode MS" w:hAnsi="Arial Unicode MS" w:eastAsia="Arial Unicode MS"/>
          <w:b w:val="0"/>
          <w:color w:val="000000"/>
          <w:sz w:val="21"/>
        </w:rPr>
        <w:t>不向患者自动推送处方和剂量。</w:t>
      </w:r>
    </w:p>
    <w:p>
      <w:pPr>
        <w:pStyle w:val="ListNumber"/>
      </w:pPr>
      <w:r>
        <w:rPr>
          <w:rFonts w:ascii="Arial Unicode MS" w:hAnsi="Arial Unicode MS" w:eastAsia="Arial Unicode MS"/>
          <w:b w:val="0"/>
          <w:color w:val="000000"/>
          <w:sz w:val="21"/>
        </w:rPr>
        <w:t>患者数据不得默认上传公共云或公共模型。</w:t>
      </w:r>
    </w:p>
    <w:p>
      <w:pPr>
        <w:pStyle w:val="Heading1"/>
      </w:pPr>
      <w:r>
        <w:t>十、标准病案与证据建设</w:t>
      </w:r>
    </w:p>
    <w:p>
      <w:pPr>
        <w:pStyle w:val="Heading2"/>
      </w:pPr>
      <w:r>
        <w:t>1. 100 例标准病案库</w:t>
      </w:r>
    </w:p>
    <w:p>
      <w:r>
        <w:rPr>
          <w:rFonts w:ascii="Arial Unicode MS" w:hAnsi="Arial Unicode MS" w:eastAsia="Arial Unicode MS"/>
          <w:b w:val="0"/>
          <w:color w:val="000000"/>
          <w:sz w:val="21"/>
        </w:rPr>
        <w:t>100 例标准病案库是泰山经方数字化传承从资料整理走向临床证据的关键工程。每例病案必须包括：</w:t>
      </w:r>
    </w:p>
    <w:p>
      <w:pPr>
        <w:pStyle w:val="ListNumber"/>
      </w:pPr>
      <w:r>
        <w:rPr>
          <w:rFonts w:ascii="Arial Unicode MS" w:hAnsi="Arial Unicode MS" w:eastAsia="Arial Unicode MS"/>
          <w:b w:val="0"/>
          <w:color w:val="000000"/>
          <w:sz w:val="21"/>
        </w:rPr>
        <w:t>首诊记录。</w:t>
      </w:r>
    </w:p>
    <w:p>
      <w:pPr>
        <w:pStyle w:val="ListNumber"/>
      </w:pPr>
      <w:r>
        <w:rPr>
          <w:rFonts w:ascii="Arial Unicode MS" w:hAnsi="Arial Unicode MS" w:eastAsia="Arial Unicode MS"/>
          <w:b w:val="0"/>
          <w:color w:val="000000"/>
          <w:sz w:val="21"/>
        </w:rPr>
        <w:t>方证判断。</w:t>
      </w:r>
    </w:p>
    <w:p>
      <w:pPr>
        <w:pStyle w:val="ListNumber"/>
      </w:pPr>
      <w:r>
        <w:rPr>
          <w:rFonts w:ascii="Arial Unicode MS" w:hAnsi="Arial Unicode MS" w:eastAsia="Arial Unicode MS"/>
          <w:b w:val="0"/>
          <w:color w:val="000000"/>
          <w:sz w:val="21"/>
        </w:rPr>
        <w:t>处方与干预记录。</w:t>
      </w:r>
    </w:p>
    <w:p>
      <w:pPr>
        <w:pStyle w:val="ListNumber"/>
      </w:pPr>
      <w:r>
        <w:rPr>
          <w:rFonts w:ascii="Arial Unicode MS" w:hAnsi="Arial Unicode MS" w:eastAsia="Arial Unicode MS"/>
          <w:b w:val="0"/>
          <w:color w:val="000000"/>
          <w:sz w:val="21"/>
        </w:rPr>
        <w:t>复诊随访。</w:t>
      </w:r>
    </w:p>
    <w:p>
      <w:pPr>
        <w:pStyle w:val="ListNumber"/>
      </w:pPr>
      <w:r>
        <w:rPr>
          <w:rFonts w:ascii="Arial Unicode MS" w:hAnsi="Arial Unicode MS" w:eastAsia="Arial Unicode MS"/>
          <w:b w:val="0"/>
          <w:color w:val="000000"/>
          <w:sz w:val="21"/>
        </w:rPr>
        <w:t>疗效评价。</w:t>
      </w:r>
    </w:p>
    <w:p>
      <w:pPr>
        <w:pStyle w:val="ListNumber"/>
      </w:pPr>
      <w:r>
        <w:rPr>
          <w:rFonts w:ascii="Arial Unicode MS" w:hAnsi="Arial Unicode MS" w:eastAsia="Arial Unicode MS"/>
          <w:b w:val="0"/>
          <w:color w:val="000000"/>
          <w:sz w:val="21"/>
        </w:rPr>
        <w:t>失败分析。</w:t>
      </w:r>
    </w:p>
    <w:p>
      <w:pPr>
        <w:pStyle w:val="ListNumber"/>
      </w:pPr>
      <w:r>
        <w:rPr>
          <w:rFonts w:ascii="Arial Unicode MS" w:hAnsi="Arial Unicode MS" w:eastAsia="Arial Unicode MS"/>
          <w:b w:val="0"/>
          <w:color w:val="000000"/>
          <w:sz w:val="21"/>
        </w:rPr>
        <w:t>教学提炼。</w:t>
      </w:r>
    </w:p>
    <w:p>
      <w:pPr>
        <w:pStyle w:val="ListNumber"/>
      </w:pPr>
      <w:r>
        <w:rPr>
          <w:rFonts w:ascii="Arial Unicode MS" w:hAnsi="Arial Unicode MS" w:eastAsia="Arial Unicode MS"/>
          <w:b w:val="0"/>
          <w:color w:val="000000"/>
          <w:sz w:val="21"/>
        </w:rPr>
        <w:t>脱敏审查。</w:t>
      </w:r>
    </w:p>
    <w:p>
      <w:pPr>
        <w:pStyle w:val="Heading2"/>
      </w:pPr>
      <w:r>
        <w:t>2. 优势病种队列</w:t>
      </w:r>
    </w:p>
    <w:p>
      <w:r>
        <w:rPr>
          <w:rFonts w:ascii="Arial Unicode MS" w:hAnsi="Arial Unicode MS" w:eastAsia="Arial Unicode MS"/>
          <w:b w:val="0"/>
          <w:color w:val="000000"/>
          <w:sz w:val="21"/>
        </w:rPr>
        <w:t>当 100 例病案逐步录入后，可筛选若干优势方向形成队列，例如失眠、脾胃病、外感后调理、慢性疲劳、情志相关不适、妇科调理、体质偏颇、老年功能下降等。</w:t>
      </w:r>
    </w:p>
    <w:p>
      <w:pPr>
        <w:pStyle w:val="Heading2"/>
      </w:pPr>
      <w:r>
        <w:t>3. 评价指标</w:t>
      </w:r>
    </w:p>
    <w:tbl>
      <w:tblPr>
        <w:tblStyle w:val="TableGrid"/>
        <w:tblW w:type="auto" w:w="0"/>
        <w:tblLayout w:type="fixed"/>
        <w:tblLook w:firstColumn="1" w:firstRow="1" w:lastColumn="0" w:lastRow="0" w:noHBand="0" w:noVBand="1" w:val="04A0"/>
      </w:tblPr>
      <w:tblGrid>
        <w:gridCol w:w="4680"/>
        <w:gridCol w:w="4680"/>
      </w:tblGrid>
      <w:tr>
        <w:tc>
          <w:tcPr>
            <w:tcW w:type="dxa" w:w="468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指标</w:t>
            </w:r>
          </w:p>
        </w:tc>
        <w:tc>
          <w:tcPr>
            <w:tcW w:type="dxa" w:w="468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内容</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完整性</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首诊、复诊、处方、疗效、失败分析是否齐全</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一致性</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推演、五诊、脉诊、类证、方症是否相互支持</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安全性</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是否出现不良反应、禁忌、转诊和延误风险</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有效性</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主症、兼症、睡眠饮食二便、脉象外候是否改善</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可教学性</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是否能提炼关键辨证点和误判点</w:t>
            </w:r>
          </w:p>
        </w:tc>
      </w:tr>
      <w:tr>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可研究性</w:t>
            </w:r>
          </w:p>
        </w:tc>
        <w:tc>
          <w:tcPr>
            <w:tcW w:type="dxa" w:w="468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是否有足够结构化字段进入统计</w:t>
            </w:r>
          </w:p>
        </w:tc>
      </w:tr>
    </w:tbl>
    <w:p/>
    <w:p>
      <w:pPr>
        <w:pStyle w:val="Heading1"/>
      </w:pPr>
      <w:r>
        <w:t>十一、人才培养与传承机制</w:t>
      </w:r>
    </w:p>
    <w:p>
      <w:r>
        <w:rPr>
          <w:rFonts w:ascii="Arial Unicode MS" w:hAnsi="Arial Unicode MS" w:eastAsia="Arial Unicode MS"/>
          <w:b w:val="0"/>
          <w:color w:val="000000"/>
          <w:sz w:val="21"/>
        </w:rPr>
        <w:t>泰山经方数字化传承不是机器替人，而是让传承更可持续。建议建立五级培养体系：</w:t>
      </w:r>
    </w:p>
    <w:p>
      <w:pPr>
        <w:pStyle w:val="ListNumber"/>
      </w:pPr>
      <w:r>
        <w:rPr>
          <w:rFonts w:ascii="Arial Unicode MS" w:hAnsi="Arial Unicode MS" w:eastAsia="Arial Unicode MS"/>
          <w:b w:val="0"/>
          <w:color w:val="000000"/>
          <w:sz w:val="21"/>
        </w:rPr>
        <w:t>入门层：掌握流派概论、知识库使用、病案规范。</w:t>
      </w:r>
    </w:p>
    <w:p>
      <w:pPr>
        <w:pStyle w:val="ListNumber"/>
      </w:pPr>
      <w:r>
        <w:rPr>
          <w:rFonts w:ascii="Arial Unicode MS" w:hAnsi="Arial Unicode MS" w:eastAsia="Arial Unicode MS"/>
          <w:b w:val="0"/>
          <w:color w:val="000000"/>
          <w:sz w:val="21"/>
        </w:rPr>
        <w:t>进阶层：掌握五运六气、难经五诊、难经脉诊、类证树。</w:t>
      </w:r>
    </w:p>
    <w:p>
      <w:pPr>
        <w:pStyle w:val="ListNumber"/>
      </w:pPr>
      <w:r>
        <w:rPr>
          <w:rFonts w:ascii="Arial Unicode MS" w:hAnsi="Arial Unicode MS" w:eastAsia="Arial Unicode MS"/>
          <w:b w:val="0"/>
          <w:color w:val="000000"/>
          <w:sz w:val="21"/>
        </w:rPr>
        <w:t>临床层：跟诊、记录、复诊分析、方证讨论。</w:t>
      </w:r>
    </w:p>
    <w:p>
      <w:pPr>
        <w:pStyle w:val="ListNumber"/>
      </w:pPr>
      <w:r>
        <w:rPr>
          <w:rFonts w:ascii="Arial Unicode MS" w:hAnsi="Arial Unicode MS" w:eastAsia="Arial Unicode MS"/>
          <w:b w:val="0"/>
          <w:color w:val="000000"/>
          <w:sz w:val="21"/>
        </w:rPr>
        <w:t>师承层：疑难病案、失败复盘、用方进退和学术表达。</w:t>
      </w:r>
    </w:p>
    <w:p>
      <w:pPr>
        <w:pStyle w:val="ListNumber"/>
      </w:pPr>
      <w:r>
        <w:rPr>
          <w:rFonts w:ascii="Arial Unicode MS" w:hAnsi="Arial Unicode MS" w:eastAsia="Arial Unicode MS"/>
          <w:b w:val="0"/>
          <w:color w:val="000000"/>
          <w:sz w:val="21"/>
        </w:rPr>
        <w:t>讲师层：承担课程、审核病案、推广标准和区域传承。</w:t>
      </w:r>
    </w:p>
    <w:p>
      <w:r>
        <w:rPr>
          <w:rFonts w:ascii="Arial Unicode MS" w:hAnsi="Arial Unicode MS" w:eastAsia="Arial Unicode MS"/>
          <w:b w:val="0"/>
          <w:color w:val="000000"/>
          <w:sz w:val="21"/>
        </w:rPr>
        <w:t>培训评价不以听课时长为唯一标准，而以病案质量、流程掌握、辨证能力、处方安全、复诊复盘和医德医风为核心。</w:t>
      </w:r>
    </w:p>
    <w:p>
      <w:pPr>
        <w:pStyle w:val="Heading1"/>
      </w:pPr>
      <w:r>
        <w:t>十二、阶段问题与风险</w:t>
      </w:r>
    </w:p>
    <w:p>
      <w:pPr>
        <w:pStyle w:val="Heading2"/>
      </w:pPr>
      <w:r>
        <w:t>1. 当前主要问题</w:t>
      </w:r>
    </w:p>
    <w:tbl>
      <w:tblPr>
        <w:tblStyle w:val="TableGrid"/>
        <w:tblW w:type="auto" w:w="0"/>
        <w:tblLayout w:type="fixed"/>
        <w:tblLook w:firstColumn="1" w:firstRow="1" w:lastColumn="0" w:lastRow="0" w:noHBand="0" w:noVBand="1" w:val="04A0"/>
      </w:tblPr>
      <w:tblGrid>
        <w:gridCol w:w="3120"/>
        <w:gridCol w:w="3120"/>
        <w:gridCol w:w="3120"/>
      </w:tblGrid>
      <w:tr>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问题</w:t>
            </w:r>
          </w:p>
        </w:tc>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表现</w:t>
            </w:r>
          </w:p>
        </w:tc>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处理建议</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原始资料多而杂</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PDF、表格、视频、旧源码、截图混杂</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继续建立来源索引和主题索引</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核心规则需复核</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部分表格和旧系统数据需传承人确认</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建立“已定版、待复核、不可外用”状态</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病案内容尚待录入</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已有 100 例框架，但真实病例需逐例填充</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从最典型 10 例开始</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软件规则未完全定版</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部分方剂、类证树和推演结果需校验</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先做医师辅助，不做自动开方</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中文文档渲染环境有限</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本地渲染器缺中文字体</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以 Word/WPS 实际打开效果为准</w:t>
            </w:r>
          </w:p>
        </w:tc>
      </w:tr>
    </w:tbl>
    <w:p/>
    <w:p>
      <w:pPr>
        <w:pStyle w:val="Heading2"/>
      </w:pPr>
      <w:r>
        <w:t>2. 风险控制</w:t>
      </w:r>
    </w:p>
    <w:p>
      <w:pPr>
        <w:pStyle w:val="ListNumber"/>
      </w:pPr>
      <w:r>
        <w:rPr>
          <w:rFonts w:ascii="Arial Unicode MS" w:hAnsi="Arial Unicode MS" w:eastAsia="Arial Unicode MS"/>
          <w:b w:val="0"/>
          <w:color w:val="000000"/>
          <w:sz w:val="21"/>
        </w:rPr>
        <w:t>不把未验证规则直接用于公开传播。</w:t>
      </w:r>
    </w:p>
    <w:p>
      <w:pPr>
        <w:pStyle w:val="ListNumber"/>
      </w:pPr>
      <w:r>
        <w:rPr>
          <w:rFonts w:ascii="Arial Unicode MS" w:hAnsi="Arial Unicode MS" w:eastAsia="Arial Unicode MS"/>
          <w:b w:val="0"/>
          <w:color w:val="000000"/>
          <w:sz w:val="21"/>
        </w:rPr>
        <w:t>不把软件输出作为自动诊断处方。</w:t>
      </w:r>
    </w:p>
    <w:p>
      <w:pPr>
        <w:pStyle w:val="ListNumber"/>
      </w:pPr>
      <w:r>
        <w:rPr>
          <w:rFonts w:ascii="Arial Unicode MS" w:hAnsi="Arial Unicode MS" w:eastAsia="Arial Unicode MS"/>
          <w:b w:val="0"/>
          <w:color w:val="000000"/>
          <w:sz w:val="21"/>
        </w:rPr>
        <w:t>不把疗效反馈截图直接公开。</w:t>
      </w:r>
    </w:p>
    <w:p>
      <w:pPr>
        <w:pStyle w:val="ListNumber"/>
      </w:pPr>
      <w:r>
        <w:rPr>
          <w:rFonts w:ascii="Arial Unicode MS" w:hAnsi="Arial Unicode MS" w:eastAsia="Arial Unicode MS"/>
          <w:b w:val="0"/>
          <w:color w:val="000000"/>
          <w:sz w:val="21"/>
        </w:rPr>
        <w:t>不把失败病例删除，而是纳入边界研究。</w:t>
      </w:r>
    </w:p>
    <w:p>
      <w:pPr>
        <w:pStyle w:val="ListNumber"/>
      </w:pPr>
      <w:r>
        <w:rPr>
          <w:rFonts w:ascii="Arial Unicode MS" w:hAnsi="Arial Unicode MS" w:eastAsia="Arial Unicode MS"/>
          <w:b w:val="0"/>
          <w:color w:val="000000"/>
          <w:sz w:val="21"/>
        </w:rPr>
        <w:t>不把病案数据上传公共云端。</w:t>
      </w:r>
    </w:p>
    <w:p>
      <w:pPr>
        <w:pStyle w:val="Heading1"/>
      </w:pPr>
      <w:r>
        <w:t>十三、下一阶段工作计划</w:t>
      </w:r>
    </w:p>
    <w:p>
      <w:pPr>
        <w:pStyle w:val="Heading2"/>
      </w:pPr>
      <w:r>
        <w:t>第一优先级：完成 10 例标杆病案</w:t>
      </w:r>
    </w:p>
    <w:p>
      <w:r>
        <w:rPr>
          <w:rFonts w:ascii="Arial Unicode MS" w:hAnsi="Arial Unicode MS" w:eastAsia="Arial Unicode MS"/>
          <w:b w:val="0"/>
          <w:color w:val="000000"/>
          <w:sz w:val="21"/>
        </w:rPr>
        <w:t>选择 10 例最能体现泰山经方特色的病例，要求首诊、方证、处方、复诊、疗效、失败分析完整。10 例标杆病案将成为后续教学、软件测试和对外汇报的核心样本。</w:t>
      </w:r>
    </w:p>
    <w:p>
      <w:pPr>
        <w:pStyle w:val="Heading2"/>
      </w:pPr>
      <w:r>
        <w:t>第二优先级：定版核心规则表</w:t>
      </w:r>
    </w:p>
    <w:p>
      <w:r>
        <w:rPr>
          <w:rFonts w:ascii="Arial Unicode MS" w:hAnsi="Arial Unicode MS" w:eastAsia="Arial Unicode MS"/>
          <w:b w:val="0"/>
          <w:color w:val="000000"/>
          <w:sz w:val="21"/>
        </w:rPr>
        <w:t>对伤寒类证树、经络营卫查方、五运脏腑虚实、难经五诊、难经脉诊、五味组方规则进行传承人逐项复核，形成“V1.0 定版规则库”。</w:t>
      </w:r>
    </w:p>
    <w:p>
      <w:pPr>
        <w:pStyle w:val="Heading2"/>
      </w:pPr>
      <w:r>
        <w:t>第三优先级：完善本地软件</w:t>
      </w:r>
    </w:p>
    <w:p>
      <w:r>
        <w:rPr>
          <w:rFonts w:ascii="Arial Unicode MS" w:hAnsi="Arial Unicode MS" w:eastAsia="Arial Unicode MS"/>
          <w:b w:val="0"/>
          <w:color w:val="000000"/>
          <w:sz w:val="21"/>
        </w:rPr>
        <w:t>围绕标准病案和医师辅助，完善本地 Web 工具。优先实现病案录入、类证树选择、发病日干支推导、候选方记录、IMA 合参、导出 Markdown/JSON。</w:t>
      </w:r>
    </w:p>
    <w:p>
      <w:pPr>
        <w:pStyle w:val="Heading2"/>
      </w:pPr>
      <w:r>
        <w:t>第四优先级：建设教学体系</w:t>
      </w:r>
    </w:p>
    <w:p>
      <w:r>
        <w:rPr>
          <w:rFonts w:ascii="Arial Unicode MS" w:hAnsi="Arial Unicode MS" w:eastAsia="Arial Unicode MS"/>
          <w:b w:val="0"/>
          <w:color w:val="000000"/>
          <w:sz w:val="21"/>
        </w:rPr>
        <w:t>把现有课程、视频、题库、病案复盘整理为入门、进阶、临床、师承、讲师五级课程。</w:t>
      </w:r>
    </w:p>
    <w:p>
      <w:pPr>
        <w:pStyle w:val="Heading2"/>
      </w:pPr>
      <w:r>
        <w:t>第五优先级：准备合作申报材料</w:t>
      </w:r>
    </w:p>
    <w:p>
      <w:r>
        <w:rPr>
          <w:rFonts w:ascii="Arial Unicode MS" w:hAnsi="Arial Unicode MS" w:eastAsia="Arial Unicode MS"/>
          <w:b w:val="0"/>
          <w:color w:val="000000"/>
          <w:sz w:val="21"/>
        </w:rPr>
        <w:t>形成面向政府、医院、科研机构和非遗保护单位的材料包，包括白皮书、建设报告、操作规范、标准病案样例、软件演示和隐私合规说明。</w:t>
      </w:r>
    </w:p>
    <w:p>
      <w:pPr>
        <w:pStyle w:val="Heading1"/>
      </w:pPr>
      <w:r>
        <w:t>十四、阶段成果清单</w:t>
      </w:r>
    </w:p>
    <w:tbl>
      <w:tblPr>
        <w:tblStyle w:val="TableGrid"/>
        <w:tblW w:type="auto" w:w="0"/>
        <w:tblLayout w:type="fixed"/>
        <w:tblLook w:firstColumn="1" w:firstRow="1" w:lastColumn="0" w:lastRow="0" w:noHBand="0" w:noVBand="1" w:val="04A0"/>
      </w:tblPr>
      <w:tblGrid>
        <w:gridCol w:w="3120"/>
        <w:gridCol w:w="3120"/>
        <w:gridCol w:w="3120"/>
      </w:tblGrid>
      <w:tr>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成果</w:t>
            </w:r>
          </w:p>
        </w:tc>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状态</w:t>
            </w:r>
          </w:p>
        </w:tc>
        <w:tc>
          <w:tcPr>
            <w:tcW w:type="dxa" w:w="3120"/>
            <w:shd w:fill="E8EEF5"/>
            <w:tcMar>
              <w:top w:w="80" w:type="dxa"/>
              <w:start w:w="120" w:type="dxa"/>
              <w:bottom w:w="80" w:type="dxa"/>
              <w:end w:w="120" w:type="dxa"/>
            </w:tcMar>
            <w:vAlign w:val="center"/>
          </w:tcPr>
          <w:p>
            <w:pPr>
              <w:spacing w:after="0"/>
            </w:pPr>
            <w:r>
              <w:rPr>
                <w:rFonts w:ascii="Arial Unicode MS" w:hAnsi="Arial Unicode MS" w:eastAsia="Arial Unicode MS"/>
                <w:b/>
                <w:color w:val="1F4D78"/>
                <w:sz w:val="19"/>
              </w:rPr>
              <w:t>位置</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本地知识库总索引</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已完成</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`本地知识库总索引.md`</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学术纲要</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已完成</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`01_项目总档案`</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白皮书</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已完成</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`01_项目总档案`</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临床操作规范</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已完成</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`07_标准化诊疗流程`</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标准病案采集表</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已完成</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`06_医案资料库`</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100 例标准病案库框架</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已完成框架</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`06_医案资料库/100例标准病案库`</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建工医院资料归类去重</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已完成索引</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`13_外部导入原始资料`</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王茂林数据源表格导入</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已完成导入</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`13_外部导入原始资料`</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一期本地 Web MVP</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已完成原型</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`16_一期本地WebMVP`</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神农指本地重写版</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已完成原型</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`17_神农指本地重写版`</w:t>
            </w:r>
          </w:p>
        </w:tc>
      </w:tr>
      <w:tr>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微信小程序机器人设计</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已形成设计文档</w:t>
            </w:r>
          </w:p>
        </w:tc>
        <w:tc>
          <w:tcPr>
            <w:tcW w:type="dxa" w:w="3120"/>
            <w:tcMar>
              <w:top w:w="80" w:type="dxa"/>
              <w:start w:w="120" w:type="dxa"/>
              <w:bottom w:w="80" w:type="dxa"/>
              <w:end w:w="120" w:type="dxa"/>
            </w:tcMar>
            <w:vAlign w:val="center"/>
          </w:tcPr>
          <w:p>
            <w:pPr>
              <w:spacing w:after="0"/>
            </w:pPr>
            <w:r>
              <w:rPr>
                <w:rFonts w:ascii="Arial Unicode MS" w:hAnsi="Arial Unicode MS" w:eastAsia="Arial Unicode MS"/>
                <w:b w:val="0"/>
                <w:color w:val="000000"/>
                <w:sz w:val="18"/>
              </w:rPr>
              <w:t>`17_神农指本地重写版/设计文档`</w:t>
            </w:r>
          </w:p>
        </w:tc>
      </w:tr>
    </w:tbl>
    <w:p/>
    <w:p>
      <w:pPr>
        <w:pStyle w:val="Heading1"/>
      </w:pPr>
      <w:r>
        <w:t>十五、结语</w:t>
      </w:r>
    </w:p>
    <w:p>
      <w:r>
        <w:rPr>
          <w:rFonts w:ascii="Arial Unicode MS" w:hAnsi="Arial Unicode MS" w:eastAsia="Arial Unicode MS"/>
          <w:b w:val="0"/>
          <w:color w:val="000000"/>
          <w:sz w:val="21"/>
        </w:rPr>
        <w:t>泰山经方数字化传承建设，本质上是一项把传统中医临床经验转化为现代知识工程的工作。它既要守住非遗传承的根，又要回应人民健康的现实需求；既要尊重传承人的经验判断，又要建立标准化病案、数据治理和软件辅助；既要重视疗效，也要敢于记录失败；既要面向未来，也要保护隐私和内部知识产权。</w:t>
      </w:r>
    </w:p>
    <w:p>
      <w:r>
        <w:rPr>
          <w:rFonts w:ascii="Arial Unicode MS" w:hAnsi="Arial Unicode MS" w:eastAsia="Arial Unicode MS"/>
          <w:b w:val="0"/>
          <w:color w:val="000000"/>
          <w:sz w:val="21"/>
        </w:rPr>
        <w:t>目前，本项目已经完成从“资料散落”到“本地知识库”的第一步，从“流派思想”到“学术纲要、白皮书、操作规范”的第二步，从“临床经验”到“100例标准病案库框架”的第三步，从“旧系统资料”到“本地软件原型”的第四步。</w:t>
      </w:r>
    </w:p>
    <w:p>
      <w:r>
        <w:rPr>
          <w:rFonts w:ascii="Arial Unicode MS" w:hAnsi="Arial Unicode MS" w:eastAsia="Arial Unicode MS"/>
          <w:b w:val="0"/>
          <w:color w:val="000000"/>
          <w:sz w:val="21"/>
        </w:rPr>
        <w:t>下一阶段，最关键的工作不是再堆更多文件，而是把核心病例录实、把规则表校准、把软件跑通、把教学体系搭起来。只要坚持本地化、安全性、标准化和真实世界证据，泰山经方标准化诊疗法就有机会从一位传承人的经验，成长为一个能被学习、被复核、被传承、被研究的现代中医非遗数字化样板。</w:t>
      </w:r>
    </w:p>
    <w:p>
      <w:pPr>
        <w:pStyle w:val="Heading1"/>
      </w:pPr>
      <w:r>
        <w:t>参考依据</w:t>
      </w:r>
    </w:p>
    <w:p>
      <w:pPr>
        <w:pStyle w:val="ListNumber"/>
      </w:pPr>
      <w:r>
        <w:rPr>
          <w:rFonts w:ascii="Arial Unicode MS" w:hAnsi="Arial Unicode MS" w:eastAsia="Arial Unicode MS"/>
          <w:b w:val="0"/>
          <w:color w:val="000000"/>
          <w:sz w:val="21"/>
        </w:rPr>
        <w:t>本地知识库：《泰山经方标准化诊疗法白皮书》。</w:t>
      </w:r>
    </w:p>
    <w:p>
      <w:pPr>
        <w:pStyle w:val="ListNumber"/>
      </w:pPr>
      <w:r>
        <w:rPr>
          <w:rFonts w:ascii="Arial Unicode MS" w:hAnsi="Arial Unicode MS" w:eastAsia="Arial Unicode MS"/>
          <w:b w:val="0"/>
          <w:color w:val="000000"/>
          <w:sz w:val="21"/>
        </w:rPr>
        <w:t>本地知识库：《泰山经方标准化诊疗法临床操作规范》。</w:t>
      </w:r>
    </w:p>
    <w:p>
      <w:pPr>
        <w:pStyle w:val="ListNumber"/>
      </w:pPr>
      <w:r>
        <w:rPr>
          <w:rFonts w:ascii="Arial Unicode MS" w:hAnsi="Arial Unicode MS" w:eastAsia="Arial Unicode MS"/>
          <w:b w:val="0"/>
          <w:color w:val="000000"/>
          <w:sz w:val="21"/>
        </w:rPr>
        <w:t>本地知识库：《泰山经方标准病案采集表》。</w:t>
      </w:r>
    </w:p>
    <w:p>
      <w:pPr>
        <w:pStyle w:val="ListNumber"/>
      </w:pPr>
      <w:r>
        <w:rPr>
          <w:rFonts w:ascii="Arial Unicode MS" w:hAnsi="Arial Unicode MS" w:eastAsia="Arial Unicode MS"/>
          <w:b w:val="0"/>
          <w:color w:val="000000"/>
          <w:sz w:val="21"/>
        </w:rPr>
        <w:t>本地知识库：`06_医案资料库/100例标准病案库`。</w:t>
      </w:r>
    </w:p>
    <w:p>
      <w:pPr>
        <w:pStyle w:val="ListNumber"/>
      </w:pPr>
      <w:r>
        <w:rPr>
          <w:rFonts w:ascii="Arial Unicode MS" w:hAnsi="Arial Unicode MS" w:eastAsia="Arial Unicode MS"/>
          <w:b w:val="0"/>
          <w:color w:val="000000"/>
          <w:sz w:val="21"/>
        </w:rPr>
        <w:t>本地知识库：`本地知识库总索引.md`。</w:t>
      </w:r>
    </w:p>
    <w:p>
      <w:pPr>
        <w:pStyle w:val="ListNumber"/>
      </w:pPr>
      <w:r>
        <w:rPr>
          <w:rFonts w:ascii="Arial Unicode MS" w:hAnsi="Arial Unicode MS" w:eastAsia="Arial Unicode MS"/>
          <w:b w:val="0"/>
          <w:color w:val="000000"/>
          <w:sz w:val="21"/>
        </w:rPr>
        <w:t>本地知识库：`17_神农指本地重写版/设计文档/微信小程序机器人与每日私订推送设计.md`。</w:t>
      </w:r>
    </w:p>
    <w:sectPr w:rsidR="00FC693F" w:rsidRPr="0006063C" w:rsidSect="0003461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rial Unicode MS" w:hAnsi="Arial Unicode MS" w:eastAsia="Arial Unicode MS"/>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76" w:lineRule="auto"/>
      <w:outlineLvl w:val="0"/>
    </w:pPr>
    <w:rPr>
      <w:rFonts w:asciiTheme="majorHAnsi" w:eastAsiaTheme="majorEastAsia" w:hAnsiTheme="majorHAnsi" w:cstheme="majorBidi" w:ascii="Arial Unicode MS" w:hAnsi="Arial Unicode MS" w:eastAsia="Arial Unicode MS"/>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276" w:lineRule="auto"/>
      <w:outlineLvl w:val="1"/>
    </w:pPr>
    <w:rPr>
      <w:rFonts w:asciiTheme="majorHAnsi" w:eastAsiaTheme="majorEastAsia" w:hAnsiTheme="majorHAnsi" w:cstheme="majorBidi" w:ascii="Arial Unicode MS" w:hAnsi="Arial Unicode MS" w:eastAsia="Arial Unicode MS"/>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76" w:lineRule="auto"/>
      <w:outlineLvl w:val="2"/>
    </w:pPr>
    <w:rPr>
      <w:rFonts w:asciiTheme="majorHAnsi" w:eastAsiaTheme="majorEastAsia" w:hAnsiTheme="majorHAnsi" w:cstheme="majorBidi" w:ascii="Arial Unicode MS" w:hAnsi="Arial Unicode MS" w:eastAsia="Arial Unicode MS"/>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