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72F24">
      <w:pPr>
        <w:spacing w:before="1120" w:after="160"/>
        <w:jc w:val="center"/>
      </w:pPr>
      <w:r>
        <w:rPr>
          <w:rFonts w:ascii="Arial Unicode MS" w:hAnsi="Arial Unicode MS" w:eastAsia="Arial Unicode MS" w:cs="Arial Unicode MS"/>
          <w:b/>
          <w:color w:val="000000"/>
          <w:sz w:val="48"/>
        </w:rPr>
        <w:t>泰山经方标准化诊疗法学术纲要</w:t>
      </w:r>
    </w:p>
    <w:p w14:paraId="27CC031B">
      <w:pPr>
        <w:spacing w:after="360"/>
        <w:jc w:val="center"/>
        <w:rPr>
          <w:rFonts w:hint="default" w:ascii="Songti SC" w:hAnsi="Songti SC" w:eastAsia="Songti SC" w:cs="Songti SC"/>
          <w:color w:val="444444"/>
          <w:sz w:val="26"/>
          <w:lang w:val="en-US" w:eastAsia="zh-CN"/>
        </w:rPr>
      </w:pPr>
      <w:r>
        <w:rPr>
          <w:rFonts w:hint="eastAsia" w:cs="Songti SC"/>
          <w:color w:val="444444"/>
          <w:sz w:val="26"/>
          <w:lang w:val="en-US" w:eastAsia="zh-CN"/>
        </w:rPr>
        <w:t>作者：山东省泰安市泰山区传统医药类别非物质文化遗产项目泰山经方标准化诊疗法代表性传承人     王相钧</w:t>
      </w:r>
    </w:p>
    <w:p w14:paraId="73B765C7">
      <w:pPr>
        <w:pBdr>
          <w:bottom w:val="single" w:color="A7B7C8" w:sz="12" w:space="8"/>
        </w:pBdr>
        <w:spacing w:after="400"/>
      </w:pPr>
    </w:p>
    <w:tbl>
      <w:tblPr>
        <w:tblStyle w:val="32"/>
        <w:tblW w:w="0" w:type="auto"/>
        <w:jc w:val="center"/>
        <w:tblLayout w:type="fixed"/>
        <w:tblCellMar>
          <w:top w:w="0" w:type="dxa"/>
          <w:left w:w="108" w:type="dxa"/>
          <w:bottom w:w="0" w:type="dxa"/>
          <w:right w:w="108" w:type="dxa"/>
        </w:tblCellMar>
      </w:tblPr>
      <w:tblGrid>
        <w:gridCol w:w="4680"/>
        <w:gridCol w:w="4680"/>
      </w:tblGrid>
      <w:tr w14:paraId="5FC28062">
        <w:trPr>
          <w:jc w:val="center"/>
        </w:trPr>
        <w:tc>
          <w:tcPr>
            <w:tcW w:w="1944" w:type="dxa"/>
            <w:shd w:val="clear" w:color="auto" w:fill="F4F6F9"/>
            <w:vAlign w:val="center"/>
          </w:tcPr>
          <w:p w14:paraId="0C8AF1DD">
            <w:pPr>
              <w:spacing w:after="0"/>
            </w:pPr>
            <w:r>
              <w:rPr>
                <w:rFonts w:ascii="Arial Unicode MS" w:hAnsi="Arial Unicode MS" w:eastAsia="Arial Unicode MS"/>
                <w:b/>
                <w:color w:val="1F4D78"/>
                <w:sz w:val="21"/>
              </w:rPr>
              <w:t>文档版本</w:t>
            </w:r>
          </w:p>
        </w:tc>
        <w:tc>
          <w:tcPr>
            <w:tcW w:w="7128" w:type="dxa"/>
            <w:vAlign w:val="center"/>
          </w:tcPr>
          <w:p w14:paraId="0E88F429">
            <w:pPr>
              <w:spacing w:after="0"/>
            </w:pPr>
            <w:r>
              <w:rPr>
                <w:rFonts w:ascii="Arial Unicode MS" w:hAnsi="Arial Unicode MS" w:eastAsia="Arial Unicode MS"/>
                <w:b w:val="0"/>
                <w:color w:val="14202D"/>
                <w:sz w:val="21"/>
              </w:rPr>
              <w:t>草案 v0.2</w:t>
            </w:r>
          </w:p>
        </w:tc>
      </w:tr>
      <w:tr w14:paraId="2F26982A">
        <w:trPr>
          <w:jc w:val="center"/>
        </w:trPr>
        <w:tc>
          <w:tcPr>
            <w:tcW w:w="1944" w:type="dxa"/>
            <w:shd w:val="clear" w:color="auto" w:fill="F4F6F9"/>
            <w:vAlign w:val="center"/>
          </w:tcPr>
          <w:p w14:paraId="772082D2">
            <w:pPr>
              <w:spacing w:after="0"/>
            </w:pPr>
            <w:r>
              <w:rPr>
                <w:rFonts w:ascii="Arial Unicode MS" w:hAnsi="Arial Unicode MS" w:eastAsia="Arial Unicode MS"/>
                <w:b/>
                <w:color w:val="1F4D78"/>
                <w:sz w:val="21"/>
              </w:rPr>
              <w:t>用途</w:t>
            </w:r>
          </w:p>
        </w:tc>
        <w:tc>
          <w:tcPr>
            <w:tcW w:w="7128" w:type="dxa"/>
            <w:vAlign w:val="center"/>
          </w:tcPr>
          <w:p w14:paraId="661EDACD">
            <w:pPr>
              <w:spacing w:after="0"/>
            </w:pPr>
            <w:r>
              <w:rPr>
                <w:rFonts w:ascii="Arial Unicode MS" w:hAnsi="Arial Unicode MS" w:eastAsia="Arial Unicode MS"/>
                <w:b w:val="0"/>
                <w:color w:val="14202D"/>
                <w:sz w:val="21"/>
              </w:rPr>
              <w:t>开宗立派、学术申报、传承教学与数字化建设参考</w:t>
            </w:r>
          </w:p>
        </w:tc>
      </w:tr>
      <w:tr w14:paraId="7B732D5F">
        <w:trPr>
          <w:jc w:val="center"/>
        </w:trPr>
        <w:tc>
          <w:tcPr>
            <w:tcW w:w="1944" w:type="dxa"/>
            <w:shd w:val="clear" w:color="auto" w:fill="F4F6F9"/>
            <w:vAlign w:val="center"/>
          </w:tcPr>
          <w:p w14:paraId="2627BF33">
            <w:pPr>
              <w:spacing w:after="0"/>
            </w:pPr>
            <w:r>
              <w:rPr>
                <w:rFonts w:ascii="Arial Unicode MS" w:hAnsi="Arial Unicode MS" w:eastAsia="Arial Unicode MS"/>
                <w:b/>
                <w:color w:val="1F4D78"/>
                <w:sz w:val="21"/>
              </w:rPr>
              <w:t>核心修订</w:t>
            </w:r>
          </w:p>
        </w:tc>
        <w:tc>
          <w:tcPr>
            <w:tcW w:w="7128" w:type="dxa"/>
            <w:vAlign w:val="center"/>
          </w:tcPr>
          <w:p w14:paraId="0F781390">
            <w:pPr>
              <w:spacing w:after="0"/>
            </w:pPr>
            <w:r>
              <w:rPr>
                <w:rFonts w:ascii="Arial Unicode MS" w:hAnsi="Arial Unicode MS" w:eastAsia="Arial Unicode MS"/>
                <w:b w:val="0"/>
                <w:color w:val="14202D"/>
                <w:sz w:val="21"/>
              </w:rPr>
              <w:t>将五运六气部分重写为本流派真实的干支象数推演路径</w:t>
            </w:r>
          </w:p>
        </w:tc>
      </w:tr>
      <w:tr w14:paraId="0199F537">
        <w:trPr>
          <w:jc w:val="center"/>
        </w:trPr>
        <w:tc>
          <w:tcPr>
            <w:tcW w:w="1944" w:type="dxa"/>
            <w:shd w:val="clear" w:color="auto" w:fill="F4F6F9"/>
            <w:vAlign w:val="center"/>
          </w:tcPr>
          <w:p w14:paraId="45FBE41A">
            <w:pPr>
              <w:spacing w:after="0"/>
            </w:pPr>
            <w:r>
              <w:rPr>
                <w:rFonts w:ascii="Arial Unicode MS" w:hAnsi="Arial Unicode MS" w:eastAsia="Arial Unicode MS"/>
                <w:b/>
                <w:color w:val="1F4D78"/>
                <w:sz w:val="21"/>
              </w:rPr>
              <w:t>生成日期</w:t>
            </w:r>
          </w:p>
        </w:tc>
        <w:tc>
          <w:tcPr>
            <w:tcW w:w="7128" w:type="dxa"/>
            <w:vAlign w:val="center"/>
          </w:tcPr>
          <w:p w14:paraId="23E445D9">
            <w:pPr>
              <w:spacing w:after="0"/>
            </w:pPr>
            <w:r>
              <w:rPr>
                <w:rFonts w:ascii="Arial Unicode MS" w:hAnsi="Arial Unicode MS" w:eastAsia="Arial Unicode MS"/>
                <w:b w:val="0"/>
                <w:color w:val="14202D"/>
                <w:sz w:val="21"/>
              </w:rPr>
              <w:t>2026年8月1日</w:t>
            </w:r>
          </w:p>
        </w:tc>
      </w:tr>
    </w:tbl>
    <w:p w14:paraId="0B706041">
      <w:pPr>
        <w:spacing w:before="400" w:after="0"/>
        <w:jc w:val="left"/>
      </w:pPr>
      <w:r>
        <w:rPr>
          <w:rFonts w:ascii="Arial Unicode MS" w:hAnsi="Arial Unicode MS" w:eastAsia="Arial Unicode MS" w:cs="Arial Unicode MS"/>
          <w:b/>
          <w:color w:val="1F4D78"/>
          <w:sz w:val="21"/>
        </w:rPr>
        <w:t>说明：</w:t>
      </w:r>
      <w:r>
        <w:rPr>
          <w:rFonts w:ascii="Arial Unicode MS" w:hAnsi="Arial Unicode MS" w:eastAsia="Arial Unicode MS" w:cs="Arial Unicode MS"/>
          <w:color w:val="5F6974"/>
          <w:sz w:val="21"/>
        </w:rPr>
        <w:t>本文件为正式发表前的学术纲要草案，涉及临床处方、推演规则和高风险日研究等内容，须经传承人、临床医师和合规审查后对外使用。</w:t>
      </w:r>
    </w:p>
    <w:p w14:paraId="55A0BC92">
      <w:r>
        <w:br w:type="page"/>
      </w:r>
    </w:p>
    <w:p w14:paraId="15B1E56B">
      <w:pPr>
        <w:spacing w:after="120" w:line="264" w:lineRule="auto"/>
        <w:ind w:firstLine="440"/>
      </w:pPr>
      <w:r>
        <w:rPr>
          <w:rFonts w:ascii="Arial Unicode MS" w:hAnsi="Arial Unicode MS" w:eastAsia="Arial Unicode MS" w:cs="Arial Unicode MS"/>
          <w:color w:val="14202D"/>
          <w:sz w:val="22"/>
        </w:rPr>
        <w:t>草案 v0.2</w:t>
      </w:r>
    </w:p>
    <w:p w14:paraId="22FB77DE">
      <w:pPr>
        <w:spacing w:after="120" w:line="264" w:lineRule="auto"/>
        <w:ind w:firstLine="440"/>
      </w:pPr>
      <w:r>
        <w:rPr>
          <w:rFonts w:ascii="Arial Unicode MS" w:hAnsi="Arial Unicode MS" w:eastAsia="Arial Unicode MS" w:cs="Arial Unicode MS"/>
          <w:color w:val="14202D"/>
          <w:sz w:val="22"/>
        </w:rPr>
        <w:t>用于开宗立派、学术申报、传承教学与数字化建设参考。</w:t>
      </w:r>
    </w:p>
    <w:p w14:paraId="4359BB27">
      <w:pPr>
        <w:pStyle w:val="3"/>
      </w:pPr>
      <w:r>
        <w:rPr>
          <w:rFonts w:ascii="Arial Unicode MS" w:hAnsi="Arial Unicode MS" w:eastAsia="Arial Unicode MS" w:cs="Arial Unicode MS"/>
          <w:b/>
          <w:color w:val="2E74B5"/>
          <w:sz w:val="32"/>
        </w:rPr>
        <w:t>一、流派名称</w:t>
      </w:r>
    </w:p>
    <w:p w14:paraId="0B2B3FDE">
      <w:pPr>
        <w:spacing w:after="120" w:line="264" w:lineRule="auto"/>
        <w:ind w:firstLine="440"/>
      </w:pPr>
      <w:r>
        <w:rPr>
          <w:rFonts w:ascii="Arial Unicode MS" w:hAnsi="Arial Unicode MS" w:eastAsia="Arial Unicode MS" w:cs="Arial Unicode MS"/>
          <w:color w:val="14202D"/>
          <w:sz w:val="22"/>
        </w:rPr>
        <w:t>本流派定名为“泰山经方标准化诊疗法”。</w:t>
      </w:r>
    </w:p>
    <w:p w14:paraId="270D2224">
      <w:pPr>
        <w:spacing w:after="120" w:line="264" w:lineRule="auto"/>
        <w:ind w:firstLine="440"/>
      </w:pPr>
      <w:r>
        <w:rPr>
          <w:rFonts w:ascii="Arial Unicode MS" w:hAnsi="Arial Unicode MS" w:eastAsia="Arial Unicode MS" w:cs="Arial Unicode MS"/>
          <w:color w:val="14202D"/>
          <w:sz w:val="22"/>
        </w:rPr>
        <w:t>“泰山”取其地域文化根脉与中华正统医学传承之象，寓意厚重、端正、稳固、通达；“经方”表明本法以《伤寒杂病论》所代表的经典方证体系为临床处方核心；“标准化诊疗法”表明本法并非停留于个人经验，而是致力于将传统辨证、方证应用、临床记录、疗效复盘和人才传承转化为可学习、可记录、可复核、可推广的系统方法。</w:t>
      </w:r>
    </w:p>
    <w:p w14:paraId="0BAE9092">
      <w:pPr>
        <w:pStyle w:val="3"/>
      </w:pPr>
      <w:r>
        <w:rPr>
          <w:rFonts w:ascii="Arial Unicode MS" w:hAnsi="Arial Unicode MS" w:eastAsia="Arial Unicode MS" w:cs="Arial Unicode MS"/>
          <w:b/>
          <w:color w:val="2E74B5"/>
          <w:sz w:val="32"/>
        </w:rPr>
        <w:t>二、宗旨使命</w:t>
      </w:r>
    </w:p>
    <w:p w14:paraId="09726260">
      <w:pPr>
        <w:spacing w:after="120" w:line="264" w:lineRule="auto"/>
        <w:ind w:firstLine="440"/>
      </w:pPr>
      <w:r>
        <w:rPr>
          <w:rFonts w:ascii="Arial Unicode MS" w:hAnsi="Arial Unicode MS" w:eastAsia="Arial Unicode MS" w:cs="Arial Unicode MS"/>
          <w:color w:val="14202D"/>
          <w:sz w:val="22"/>
        </w:rPr>
        <w:t>泰山经方标准化诊疗法以传承中医经典、发扬经方实用价值、推进非遗数字化保护与中医药标准化建设为使命，旨在建立一套根于经典、验于临床、成于标准、传于后世的经方诊疗流派体系。</w:t>
      </w:r>
    </w:p>
    <w:p w14:paraId="53DD6363">
      <w:pPr>
        <w:spacing w:after="120" w:line="264" w:lineRule="auto"/>
        <w:ind w:firstLine="440"/>
      </w:pPr>
      <w:r>
        <w:rPr>
          <w:rFonts w:ascii="Arial Unicode MS" w:hAnsi="Arial Unicode MS" w:eastAsia="Arial Unicode MS" w:cs="Arial Unicode MS"/>
          <w:color w:val="14202D"/>
          <w:sz w:val="22"/>
        </w:rPr>
        <w:t>本法之根本目标，不仅在于治一时之病，更在于立一家之言、成一派之学、建一套可持续传承的中医临床方法。</w:t>
      </w:r>
    </w:p>
    <w:tbl>
      <w:tblPr>
        <w:tblStyle w:val="32"/>
        <w:tblW w:w="0" w:type="auto"/>
        <w:jc w:val="center"/>
        <w:tblLayout w:type="fixed"/>
        <w:tblCellMar>
          <w:top w:w="0" w:type="dxa"/>
          <w:left w:w="108" w:type="dxa"/>
          <w:bottom w:w="0" w:type="dxa"/>
          <w:right w:w="108" w:type="dxa"/>
        </w:tblCellMar>
      </w:tblPr>
      <w:tblGrid>
        <w:gridCol w:w="9360"/>
      </w:tblGrid>
      <w:tr w14:paraId="7D215E58">
        <w:trPr>
          <w:jc w:val="center"/>
        </w:trPr>
        <w:tc>
          <w:tcPr>
            <w:tcW w:w="9072" w:type="dxa"/>
            <w:shd w:val="clear" w:color="auto" w:fill="F4F6F9"/>
          </w:tcPr>
          <w:p w14:paraId="2A931517">
            <w:pPr>
              <w:spacing w:after="60"/>
            </w:pPr>
            <w:r>
              <w:rPr>
                <w:rFonts w:ascii="Arial Unicode MS" w:hAnsi="Arial Unicode MS" w:eastAsia="Arial Unicode MS" w:cs="Arial Unicode MS"/>
                <w:b/>
                <w:color w:val="1F4D78"/>
                <w:sz w:val="21"/>
              </w:rPr>
              <w:t>其使命可概括为四句话：</w:t>
            </w:r>
          </w:p>
        </w:tc>
      </w:tr>
    </w:tbl>
    <w:p w14:paraId="2EE376A0">
      <w:pPr>
        <w:spacing w:after="40"/>
      </w:pPr>
    </w:p>
    <w:p w14:paraId="265B6108">
      <w:pPr>
        <w:spacing w:after="120" w:line="264" w:lineRule="auto"/>
        <w:ind w:firstLine="440"/>
      </w:pPr>
      <w:r>
        <w:rPr>
          <w:rFonts w:ascii="Arial Unicode MS" w:hAnsi="Arial Unicode MS" w:eastAsia="Arial Unicode MS" w:cs="Arial Unicode MS"/>
          <w:color w:val="14202D"/>
          <w:sz w:val="22"/>
        </w:rPr>
        <w:t>一是守正，尊重《黄帝内经》《难经》《伤寒杂病论》《普济方》等经典医学的理论根脉；</w:t>
      </w:r>
    </w:p>
    <w:p w14:paraId="1D2E80B2">
      <w:pPr>
        <w:spacing w:after="120" w:line="264" w:lineRule="auto"/>
        <w:ind w:firstLine="440"/>
      </w:pPr>
      <w:r>
        <w:rPr>
          <w:rFonts w:ascii="Arial Unicode MS" w:hAnsi="Arial Unicode MS" w:eastAsia="Arial Unicode MS" w:cs="Arial Unicode MS"/>
          <w:color w:val="14202D"/>
          <w:sz w:val="22"/>
        </w:rPr>
        <w:t>二是创新，以现代标准化、数字化、知识工程方法整理传统诊疗经验；</w:t>
      </w:r>
    </w:p>
    <w:p w14:paraId="0F0A1DDA">
      <w:pPr>
        <w:spacing w:after="120" w:line="264" w:lineRule="auto"/>
        <w:ind w:firstLine="440"/>
      </w:pPr>
      <w:r>
        <w:rPr>
          <w:rFonts w:ascii="Arial Unicode MS" w:hAnsi="Arial Unicode MS" w:eastAsia="Arial Unicode MS" w:cs="Arial Unicode MS"/>
          <w:color w:val="14202D"/>
          <w:sz w:val="22"/>
        </w:rPr>
        <w:t>三是实证，以连续病案、疗效观察和复诊反馈验证方证应用规律；</w:t>
      </w:r>
    </w:p>
    <w:p w14:paraId="21A79978">
      <w:pPr>
        <w:spacing w:after="120" w:line="264" w:lineRule="auto"/>
        <w:ind w:firstLine="440"/>
      </w:pPr>
      <w:r>
        <w:rPr>
          <w:rFonts w:ascii="Arial Unicode MS" w:hAnsi="Arial Unicode MS" w:eastAsia="Arial Unicode MS" w:cs="Arial Unicode MS"/>
          <w:color w:val="14202D"/>
          <w:sz w:val="22"/>
        </w:rPr>
        <w:t>四是传承，以教材、课程、软件、数据库和师承体系培养后学。</w:t>
      </w:r>
    </w:p>
    <w:p w14:paraId="273BA947">
      <w:pPr>
        <w:pStyle w:val="3"/>
      </w:pPr>
      <w:r>
        <w:rPr>
          <w:rFonts w:ascii="Arial Unicode MS" w:hAnsi="Arial Unicode MS" w:eastAsia="Arial Unicode MS" w:cs="Arial Unicode MS"/>
          <w:b/>
          <w:color w:val="2E74B5"/>
          <w:sz w:val="32"/>
        </w:rPr>
        <w:t>三、学术源流</w:t>
      </w:r>
    </w:p>
    <w:p w14:paraId="751CCD04">
      <w:pPr>
        <w:spacing w:after="120" w:line="264" w:lineRule="auto"/>
        <w:ind w:firstLine="440"/>
      </w:pPr>
      <w:r>
        <w:rPr>
          <w:rFonts w:ascii="Arial Unicode MS" w:hAnsi="Arial Unicode MS" w:eastAsia="Arial Unicode MS" w:cs="Arial Unicode MS"/>
          <w:color w:val="14202D"/>
          <w:sz w:val="22"/>
        </w:rPr>
        <w:t>泰山经方标准化诊疗法以中医经典为宗，以《难经》诊法为门，以五运六气和干支象数推演为法，以《伤寒杂病论》经方方证为临床落点。</w:t>
      </w:r>
    </w:p>
    <w:p w14:paraId="5DC04ECC">
      <w:pPr>
        <w:spacing w:after="120" w:line="264" w:lineRule="auto"/>
        <w:ind w:firstLine="440"/>
      </w:pPr>
      <w:r>
        <w:rPr>
          <w:rFonts w:ascii="Arial Unicode MS" w:hAnsi="Arial Unicode MS" w:eastAsia="Arial Unicode MS" w:cs="Arial Unicode MS"/>
          <w:color w:val="14202D"/>
          <w:sz w:val="22"/>
        </w:rPr>
        <w:t>其主要学术源流包括：</w:t>
      </w:r>
    </w:p>
    <w:p w14:paraId="6F3D4942">
      <w:pPr>
        <w:spacing w:after="120" w:line="264" w:lineRule="auto"/>
        <w:ind w:firstLine="440"/>
      </w:pPr>
      <w:r>
        <w:rPr>
          <w:rFonts w:ascii="Arial Unicode MS" w:hAnsi="Arial Unicode MS" w:eastAsia="Arial Unicode MS" w:cs="Arial Unicode MS"/>
          <w:color w:val="14202D"/>
          <w:sz w:val="22"/>
        </w:rPr>
        <w:t>第一，《黄帝内经》之天人相应、五运六气、藏象经络、阴阳五行、气血津液理论。</w:t>
      </w:r>
    </w:p>
    <w:p w14:paraId="48623A25">
      <w:pPr>
        <w:spacing w:after="120" w:line="264" w:lineRule="auto"/>
        <w:ind w:firstLine="440"/>
      </w:pPr>
      <w:r>
        <w:rPr>
          <w:rFonts w:ascii="Arial Unicode MS" w:hAnsi="Arial Unicode MS" w:eastAsia="Arial Unicode MS" w:cs="Arial Unicode MS"/>
          <w:color w:val="14202D"/>
          <w:sz w:val="22"/>
        </w:rPr>
        <w:t>第二，《难经》之脉诊、脏腑生克、五色、五嗅、五味、五声、五液等诊病思想。</w:t>
      </w:r>
    </w:p>
    <w:p w14:paraId="1E3F1C01">
      <w:pPr>
        <w:spacing w:after="120" w:line="264" w:lineRule="auto"/>
        <w:ind w:firstLine="440"/>
      </w:pPr>
      <w:r>
        <w:rPr>
          <w:rFonts w:ascii="Arial Unicode MS" w:hAnsi="Arial Unicode MS" w:eastAsia="Arial Unicode MS" w:cs="Arial Unicode MS"/>
          <w:color w:val="14202D"/>
          <w:sz w:val="22"/>
        </w:rPr>
        <w:t>第三，《伤寒杂病论》之六经辨证、脏腑辨证、方证相应、随证治之的经方体系。</w:t>
      </w:r>
    </w:p>
    <w:p w14:paraId="2F1CAB3C">
      <w:pPr>
        <w:spacing w:after="120" w:line="264" w:lineRule="auto"/>
        <w:ind w:firstLine="440"/>
      </w:pPr>
      <w:r>
        <w:rPr>
          <w:rFonts w:ascii="Arial Unicode MS" w:hAnsi="Arial Unicode MS" w:eastAsia="Arial Unicode MS" w:cs="Arial Unicode MS"/>
          <w:color w:val="14202D"/>
          <w:sz w:val="22"/>
        </w:rPr>
        <w:t>第四，《普济方》伤寒门所载伤寒钤法、年日钤法、逐日受病、干支取方和法式检押思想。</w:t>
      </w:r>
    </w:p>
    <w:p w14:paraId="7BFA77F5">
      <w:pPr>
        <w:spacing w:after="120" w:line="264" w:lineRule="auto"/>
        <w:ind w:firstLine="440"/>
      </w:pPr>
      <w:r>
        <w:rPr>
          <w:rFonts w:ascii="Arial Unicode MS" w:hAnsi="Arial Unicode MS" w:eastAsia="Arial Unicode MS" w:cs="Arial Unicode MS"/>
          <w:color w:val="14202D"/>
          <w:sz w:val="22"/>
        </w:rPr>
        <w:t>第五，《运气掌诀录》《素问运气图括定局立成》《重编伤寒必用运气全书》等运气推演传统。</w:t>
      </w:r>
    </w:p>
    <w:p w14:paraId="61E671E1">
      <w:pPr>
        <w:spacing w:after="120" w:line="264" w:lineRule="auto"/>
        <w:ind w:firstLine="440"/>
      </w:pPr>
      <w:r>
        <w:rPr>
          <w:rFonts w:ascii="Arial Unicode MS" w:hAnsi="Arial Unicode MS" w:eastAsia="Arial Unicode MS" w:cs="Arial Unicode MS"/>
          <w:color w:val="14202D"/>
          <w:sz w:val="22"/>
        </w:rPr>
        <w:t>第六，当代泰山经方传承实践中形成的经络系统营卫辨证、脏腑系统虚实辨证、难经五诊、难经脉诊、方症评分、类证鉴别和数字化推演体系。</w:t>
      </w:r>
    </w:p>
    <w:p w14:paraId="217A22B5">
      <w:pPr>
        <w:spacing w:after="120" w:line="264" w:lineRule="auto"/>
        <w:ind w:firstLine="440"/>
      </w:pPr>
      <w:r>
        <w:rPr>
          <w:rFonts w:ascii="Arial Unicode MS" w:hAnsi="Arial Unicode MS" w:eastAsia="Arial Unicode MS" w:cs="Arial Unicode MS"/>
          <w:color w:val="14202D"/>
          <w:sz w:val="22"/>
        </w:rPr>
        <w:t>本流派认为，经典医学并非割裂存在。《内经》立天地人之大法，《难经》明诊察脏腑之精微，《伤寒杂病论》成方证治疗之规矩，《普济方》保存伤寒钤法之术数法式。四者合参，方能形成由天时、人体、病机、方药贯通的诊疗体系。</w:t>
      </w:r>
    </w:p>
    <w:p w14:paraId="52937320">
      <w:pPr>
        <w:pStyle w:val="3"/>
      </w:pPr>
      <w:r>
        <w:rPr>
          <w:rFonts w:ascii="Arial Unicode MS" w:hAnsi="Arial Unicode MS" w:eastAsia="Arial Unicode MS" w:cs="Arial Unicode MS"/>
          <w:b/>
          <w:color w:val="2E74B5"/>
          <w:sz w:val="32"/>
        </w:rPr>
        <w:t>四、核心定义</w:t>
      </w:r>
    </w:p>
    <w:p w14:paraId="75A78FC2">
      <w:pPr>
        <w:spacing w:after="120" w:line="264" w:lineRule="auto"/>
        <w:ind w:firstLine="440"/>
      </w:pPr>
      <w:r>
        <w:rPr>
          <w:rFonts w:ascii="Arial Unicode MS" w:hAnsi="Arial Unicode MS" w:eastAsia="Arial Unicode MS" w:cs="Arial Unicode MS"/>
          <w:color w:val="14202D"/>
          <w:sz w:val="22"/>
        </w:rPr>
        <w:t>泰山经方标准化诊疗法，是以五运六气和干支象数推演判定发病时空中的病性、病位与病势，以《难经》五色、五嗅、五味、五声、五液及脉诊法采集人体外显信息，以《伤寒杂病论》经方方证体系完成辨证论治和处方决策，并通过标准化病案、复诊评估和数字化工具进行传承、验证与推广的中医诊疗方法。</w:t>
      </w:r>
    </w:p>
    <w:p w14:paraId="2992C303">
      <w:pPr>
        <w:spacing w:after="120" w:line="264" w:lineRule="auto"/>
        <w:ind w:firstLine="440"/>
      </w:pPr>
      <w:r>
        <w:rPr>
          <w:rFonts w:ascii="Arial Unicode MS" w:hAnsi="Arial Unicode MS" w:eastAsia="Arial Unicode MS" w:cs="Arial Unicode MS"/>
          <w:color w:val="14202D"/>
          <w:sz w:val="22"/>
        </w:rPr>
        <w:t>其核心不在单一技术，而在“时、象、脉、证、方、效”六者贯通。</w:t>
      </w:r>
    </w:p>
    <w:p w14:paraId="6E20F29D">
      <w:pPr>
        <w:spacing w:after="120" w:line="264" w:lineRule="auto"/>
        <w:ind w:firstLine="440"/>
      </w:pPr>
      <w:r>
        <w:rPr>
          <w:rFonts w:ascii="Arial Unicode MS" w:hAnsi="Arial Unicode MS" w:eastAsia="Arial Unicode MS" w:cs="Arial Unicode MS"/>
          <w:color w:val="14202D"/>
          <w:sz w:val="22"/>
        </w:rPr>
        <w:t>时，即出生年地支、性别、发病日干支、节气、岁运和气化节律；</w:t>
      </w:r>
    </w:p>
    <w:p w14:paraId="72FCA289">
      <w:pPr>
        <w:spacing w:after="120" w:line="264" w:lineRule="auto"/>
        <w:ind w:firstLine="440"/>
      </w:pPr>
      <w:r>
        <w:rPr>
          <w:rFonts w:ascii="Arial Unicode MS" w:hAnsi="Arial Unicode MS" w:eastAsia="Arial Unicode MS" w:cs="Arial Unicode MS"/>
          <w:color w:val="14202D"/>
          <w:sz w:val="22"/>
        </w:rPr>
        <w:t>象，即色、嗅、味、声、液等人体外候；</w:t>
      </w:r>
    </w:p>
    <w:p w14:paraId="076272C8">
      <w:pPr>
        <w:spacing w:after="120" w:line="264" w:lineRule="auto"/>
        <w:ind w:firstLine="440"/>
      </w:pPr>
      <w:r>
        <w:rPr>
          <w:rFonts w:ascii="Arial Unicode MS" w:hAnsi="Arial Unicode MS" w:eastAsia="Arial Unicode MS" w:cs="Arial Unicode MS"/>
          <w:color w:val="14202D"/>
          <w:sz w:val="22"/>
        </w:rPr>
        <w:t>脉，即《难经》脉诊所揭示的病位与病性；</w:t>
      </w:r>
    </w:p>
    <w:p w14:paraId="52AA5B27">
      <w:pPr>
        <w:spacing w:after="120" w:line="264" w:lineRule="auto"/>
        <w:ind w:firstLine="440"/>
      </w:pPr>
      <w:r>
        <w:rPr>
          <w:rFonts w:ascii="Arial Unicode MS" w:hAnsi="Arial Unicode MS" w:eastAsia="Arial Unicode MS" w:cs="Arial Unicode MS"/>
          <w:color w:val="14202D"/>
          <w:sz w:val="22"/>
        </w:rPr>
        <w:t>证，即经络营卫、脏腑虚实、六经方证与五邪归属；</w:t>
      </w:r>
    </w:p>
    <w:p w14:paraId="70E70D38">
      <w:pPr>
        <w:spacing w:after="120" w:line="264" w:lineRule="auto"/>
        <w:ind w:firstLine="440"/>
      </w:pPr>
      <w:r>
        <w:rPr>
          <w:rFonts w:ascii="Arial Unicode MS" w:hAnsi="Arial Unicode MS" w:eastAsia="Arial Unicode MS" w:cs="Arial Unicode MS"/>
          <w:color w:val="14202D"/>
          <w:sz w:val="22"/>
        </w:rPr>
        <w:t>方，即经方选择、五味组方、剂量配伍与加减法度；</w:t>
      </w:r>
    </w:p>
    <w:p w14:paraId="1C02A38F">
      <w:pPr>
        <w:spacing w:after="120" w:line="264" w:lineRule="auto"/>
        <w:ind w:firstLine="440"/>
      </w:pPr>
      <w:r>
        <w:rPr>
          <w:rFonts w:ascii="Arial Unicode MS" w:hAnsi="Arial Unicode MS" w:eastAsia="Arial Unicode MS" w:cs="Arial Unicode MS"/>
          <w:color w:val="14202D"/>
          <w:sz w:val="22"/>
        </w:rPr>
        <w:t>效，即服药后的症状、脉象、外候、体征和生活质量变化。</w:t>
      </w:r>
    </w:p>
    <w:p w14:paraId="113EF326">
      <w:pPr>
        <w:pStyle w:val="3"/>
      </w:pPr>
      <w:r>
        <w:rPr>
          <w:rFonts w:ascii="Arial Unicode MS" w:hAnsi="Arial Unicode MS" w:eastAsia="Arial Unicode MS" w:cs="Arial Unicode MS"/>
          <w:b/>
          <w:color w:val="2E74B5"/>
          <w:sz w:val="32"/>
        </w:rPr>
        <w:t>五、基本学术观</w:t>
      </w:r>
    </w:p>
    <w:p w14:paraId="52BC2B14">
      <w:pPr>
        <w:pStyle w:val="4"/>
      </w:pPr>
      <w:r>
        <w:rPr>
          <w:rFonts w:ascii="Arial Unicode MS" w:hAnsi="Arial Unicode MS" w:eastAsia="Arial Unicode MS" w:cs="Arial Unicode MS"/>
          <w:b/>
          <w:color w:val="2E74B5"/>
          <w:sz w:val="26"/>
        </w:rPr>
        <w:t>1. 天人气化观</w:t>
      </w:r>
    </w:p>
    <w:p w14:paraId="665F5014">
      <w:pPr>
        <w:spacing w:after="120" w:line="264" w:lineRule="auto"/>
        <w:ind w:firstLine="440"/>
      </w:pPr>
      <w:r>
        <w:rPr>
          <w:rFonts w:ascii="Arial Unicode MS" w:hAnsi="Arial Unicode MS" w:eastAsia="Arial Unicode MS" w:cs="Arial Unicode MS"/>
          <w:color w:val="14202D"/>
          <w:sz w:val="22"/>
        </w:rPr>
        <w:t>本法认为，人身疾病的发生、变化与转归，既关乎个体体质、饮食劳倦、情志起居，也关乎出生年地支、发病日干支、阴阳顺逆、五行生克与六气流行。</w:t>
      </w:r>
    </w:p>
    <w:p w14:paraId="687E3D87">
      <w:pPr>
        <w:spacing w:after="120" w:line="264" w:lineRule="auto"/>
        <w:ind w:firstLine="440"/>
      </w:pPr>
      <w:r>
        <w:rPr>
          <w:rFonts w:ascii="Arial Unicode MS" w:hAnsi="Arial Unicode MS" w:eastAsia="Arial Unicode MS" w:cs="Arial Unicode MS"/>
          <w:color w:val="14202D"/>
          <w:sz w:val="22"/>
        </w:rPr>
        <w:t>本流派所用五运六气，并非泛泛谈岁运、司天、在泉，也不是把天时当作脱离临床的玄学背景；其真实用法，是把干支作为“时空气化符号”，把出生年地支、性别、发病日干支转化为可推步、可查表、可复核的临床变量。</w:t>
      </w:r>
    </w:p>
    <w:p w14:paraId="50FCF62C">
      <w:pPr>
        <w:pStyle w:val="4"/>
      </w:pPr>
      <w:r>
        <w:rPr>
          <w:rFonts w:ascii="Arial Unicode MS" w:hAnsi="Arial Unicode MS" w:eastAsia="Arial Unicode MS" w:cs="Arial Unicode MS"/>
          <w:b/>
          <w:color w:val="2E74B5"/>
          <w:sz w:val="26"/>
        </w:rPr>
        <w:t>2. 天气地气观</w:t>
      </w:r>
    </w:p>
    <w:p w14:paraId="26A88249">
      <w:pPr>
        <w:spacing w:after="120" w:line="264" w:lineRule="auto"/>
        <w:ind w:firstLine="440"/>
      </w:pPr>
      <w:r>
        <w:rPr>
          <w:rFonts w:ascii="Arial Unicode MS" w:hAnsi="Arial Unicode MS" w:eastAsia="Arial Unicode MS" w:cs="Arial Unicode MS"/>
          <w:color w:val="14202D"/>
          <w:sz w:val="22"/>
        </w:rPr>
        <w:t>本法承《内经》“天枢之上，天气主之；天枢之下，地气主之”之意，将天气与地气转化为临床辨证模型。</w:t>
      </w:r>
    </w:p>
    <w:p w14:paraId="7F458E68">
      <w:pPr>
        <w:spacing w:after="120" w:line="264" w:lineRule="auto"/>
        <w:ind w:firstLine="440"/>
      </w:pPr>
      <w:r>
        <w:rPr>
          <w:rFonts w:ascii="Arial Unicode MS" w:hAnsi="Arial Unicode MS" w:eastAsia="Arial Unicode MS" w:cs="Arial Unicode MS"/>
          <w:color w:val="14202D"/>
          <w:sz w:val="22"/>
        </w:rPr>
        <w:t>天气在上，为阳、为外、为表、为气、为用，临床上主要对应病性，即风、寒、暑、湿、燥、火、温等邪气属性。</w:t>
      </w:r>
    </w:p>
    <w:p w14:paraId="48567296">
      <w:pPr>
        <w:spacing w:after="120" w:line="264" w:lineRule="auto"/>
        <w:ind w:firstLine="440"/>
      </w:pPr>
      <w:r>
        <w:rPr>
          <w:rFonts w:ascii="Arial Unicode MS" w:hAnsi="Arial Unicode MS" w:eastAsia="Arial Unicode MS" w:cs="Arial Unicode MS"/>
          <w:color w:val="14202D"/>
          <w:sz w:val="22"/>
        </w:rPr>
        <w:t>地气在下，为阴、为内、为里、为血、为体，临床上主要对应病位，即经络、脏腑及受病之所。</w:t>
      </w:r>
    </w:p>
    <w:p w14:paraId="04E41978">
      <w:pPr>
        <w:spacing w:after="120" w:line="264" w:lineRule="auto"/>
        <w:ind w:firstLine="440"/>
      </w:pPr>
      <w:r>
        <w:rPr>
          <w:rFonts w:ascii="Arial Unicode MS" w:hAnsi="Arial Unicode MS" w:eastAsia="Arial Unicode MS" w:cs="Arial Unicode MS"/>
          <w:color w:val="14202D"/>
          <w:sz w:val="22"/>
        </w:rPr>
        <w:t>故本法诊疗方法论，可概括为：求“何邪侵袭何处”，即先明病性，再定病位，继而归入方证。</w:t>
      </w:r>
    </w:p>
    <w:p w14:paraId="79C9BA27">
      <w:pPr>
        <w:pStyle w:val="4"/>
      </w:pPr>
      <w:r>
        <w:rPr>
          <w:rFonts w:ascii="Arial Unicode MS" w:hAnsi="Arial Unicode MS" w:eastAsia="Arial Unicode MS" w:cs="Arial Unicode MS"/>
          <w:b/>
          <w:color w:val="2E74B5"/>
          <w:sz w:val="26"/>
        </w:rPr>
        <w:t>3. 干支象数观</w:t>
      </w:r>
    </w:p>
    <w:p w14:paraId="24FFDD9F">
      <w:pPr>
        <w:spacing w:after="120" w:line="264" w:lineRule="auto"/>
        <w:ind w:firstLine="440"/>
      </w:pPr>
      <w:r>
        <w:rPr>
          <w:rFonts w:ascii="Arial Unicode MS" w:hAnsi="Arial Unicode MS" w:eastAsia="Arial Unicode MS" w:cs="Arial Unicode MS"/>
          <w:color w:val="14202D"/>
          <w:sz w:val="22"/>
        </w:rPr>
        <w:t>本法以天干、地支、六十甲子、阴阳顺逆和五行属性作为推演工具。天干可用于推病性、病机、证号与五运属性；地支可用于推病位、属相、司天司地司人及经络脏腑受病之所。</w:t>
      </w:r>
    </w:p>
    <w:p w14:paraId="258F44D3">
      <w:pPr>
        <w:spacing w:after="120" w:line="264" w:lineRule="auto"/>
        <w:ind w:firstLine="440"/>
      </w:pPr>
      <w:r>
        <w:rPr>
          <w:rFonts w:ascii="Arial Unicode MS" w:hAnsi="Arial Unicode MS" w:eastAsia="Arial Unicode MS" w:cs="Arial Unicode MS"/>
          <w:color w:val="14202D"/>
          <w:sz w:val="22"/>
        </w:rPr>
        <w:t>干支不是孤立符号，而是本流派把传统运气学转化为标准化规则库的桥梁。</w:t>
      </w:r>
    </w:p>
    <w:p w14:paraId="32BBB92B">
      <w:pPr>
        <w:pStyle w:val="4"/>
      </w:pPr>
      <w:r>
        <w:rPr>
          <w:rFonts w:ascii="Arial Unicode MS" w:hAnsi="Arial Unicode MS" w:eastAsia="Arial Unicode MS" w:cs="Arial Unicode MS"/>
          <w:b/>
          <w:color w:val="2E74B5"/>
          <w:sz w:val="26"/>
        </w:rPr>
        <w:t>4. 外候内应观</w:t>
      </w:r>
    </w:p>
    <w:p w14:paraId="77C89500">
      <w:pPr>
        <w:spacing w:after="120" w:line="264" w:lineRule="auto"/>
        <w:ind w:firstLine="440"/>
      </w:pPr>
      <w:r>
        <w:rPr>
          <w:rFonts w:ascii="Arial Unicode MS" w:hAnsi="Arial Unicode MS" w:eastAsia="Arial Unicode MS" w:cs="Arial Unicode MS"/>
          <w:color w:val="14202D"/>
          <w:sz w:val="22"/>
        </w:rPr>
        <w:t>本法重视《难经》五色、五嗅、五味、五声、五液诊病思想，认为人体外在之色泽、气味、口味偏嗜、声音变化、汗涕涎泪唾等津液表现，皆为脏腑气血盛衰、寒热虚实变化之外应。</w:t>
      </w:r>
    </w:p>
    <w:p w14:paraId="552E9570">
      <w:pPr>
        <w:spacing w:after="120" w:line="264" w:lineRule="auto"/>
        <w:ind w:firstLine="440"/>
      </w:pPr>
      <w:r>
        <w:rPr>
          <w:rFonts w:ascii="Arial Unicode MS" w:hAnsi="Arial Unicode MS" w:eastAsia="Arial Unicode MS" w:cs="Arial Unicode MS"/>
          <w:color w:val="14202D"/>
          <w:sz w:val="22"/>
        </w:rPr>
        <w:t>外候不是零散症状，而是病机显现的窗口。标准化采集外候信息，有助于校验推演结论，防止单凭干支查表而脱离患者真实表现。</w:t>
      </w:r>
    </w:p>
    <w:p w14:paraId="1FD17F69">
      <w:pPr>
        <w:pStyle w:val="4"/>
      </w:pPr>
      <w:r>
        <w:rPr>
          <w:rFonts w:ascii="Arial Unicode MS" w:hAnsi="Arial Unicode MS" w:eastAsia="Arial Unicode MS" w:cs="Arial Unicode MS"/>
          <w:b/>
          <w:color w:val="2E74B5"/>
          <w:sz w:val="26"/>
        </w:rPr>
        <w:t>5. 脉证互参观</w:t>
      </w:r>
    </w:p>
    <w:p w14:paraId="3A82585A">
      <w:pPr>
        <w:spacing w:after="120" w:line="264" w:lineRule="auto"/>
        <w:ind w:firstLine="440"/>
      </w:pPr>
      <w:r>
        <w:rPr>
          <w:rFonts w:ascii="Arial Unicode MS" w:hAnsi="Arial Unicode MS" w:eastAsia="Arial Unicode MS" w:cs="Arial Unicode MS"/>
          <w:color w:val="14202D"/>
          <w:sz w:val="22"/>
        </w:rPr>
        <w:t>本法以脉诊为辨证枢纽之一，强调脉位定病位，脉象定病性。</w:t>
      </w:r>
    </w:p>
    <w:p w14:paraId="1A85B157">
      <w:pPr>
        <w:spacing w:after="120" w:line="264" w:lineRule="auto"/>
        <w:ind w:firstLine="440"/>
      </w:pPr>
      <w:r>
        <w:rPr>
          <w:rFonts w:ascii="Arial Unicode MS" w:hAnsi="Arial Unicode MS" w:eastAsia="Arial Unicode MS" w:cs="Arial Unicode MS"/>
          <w:color w:val="14202D"/>
          <w:sz w:val="22"/>
        </w:rPr>
        <w:t>急为风，大为热，缓为湿，涩为燥，沉为寒；左寸心，右寸肺，左关肝，右关脾，左尺肾，右尺命门。</w:t>
      </w:r>
    </w:p>
    <w:p w14:paraId="63E5E814">
      <w:pPr>
        <w:spacing w:after="120" w:line="264" w:lineRule="auto"/>
        <w:ind w:firstLine="440"/>
      </w:pPr>
      <w:r>
        <w:rPr>
          <w:rFonts w:ascii="Arial Unicode MS" w:hAnsi="Arial Unicode MS" w:eastAsia="Arial Unicode MS" w:cs="Arial Unicode MS"/>
          <w:color w:val="14202D"/>
          <w:sz w:val="22"/>
        </w:rPr>
        <w:t>脉不离证，证不离脉。推演所得之病性病位，必须接受脉象和临床症候的复核。</w:t>
      </w:r>
    </w:p>
    <w:p w14:paraId="48EFA90B">
      <w:pPr>
        <w:pStyle w:val="4"/>
      </w:pPr>
      <w:r>
        <w:rPr>
          <w:rFonts w:ascii="Arial Unicode MS" w:hAnsi="Arial Unicode MS" w:eastAsia="Arial Unicode MS" w:cs="Arial Unicode MS"/>
          <w:b/>
          <w:color w:val="2E74B5"/>
          <w:sz w:val="26"/>
        </w:rPr>
        <w:t>6. 方证相应观</w:t>
      </w:r>
    </w:p>
    <w:p w14:paraId="322A15AF">
      <w:pPr>
        <w:spacing w:after="120" w:line="264" w:lineRule="auto"/>
        <w:ind w:firstLine="440"/>
      </w:pPr>
      <w:r>
        <w:rPr>
          <w:rFonts w:ascii="Arial Unicode MS" w:hAnsi="Arial Unicode MS" w:eastAsia="Arial Unicode MS" w:cs="Arial Unicode MS"/>
          <w:color w:val="14202D"/>
          <w:sz w:val="22"/>
        </w:rPr>
        <w:t>本法以经方为治疗核心，主张“方以证立，证以方明”。经方不是固定成药组合，而是经典与临床反复验证的病机结构与药物结构之对应关系。</w:t>
      </w:r>
    </w:p>
    <w:p w14:paraId="64EB690D">
      <w:pPr>
        <w:spacing w:after="120" w:line="264" w:lineRule="auto"/>
        <w:ind w:firstLine="440"/>
      </w:pPr>
      <w:r>
        <w:rPr>
          <w:rFonts w:ascii="Arial Unicode MS" w:hAnsi="Arial Unicode MS" w:eastAsia="Arial Unicode MS" w:cs="Arial Unicode MS"/>
          <w:color w:val="14202D"/>
          <w:sz w:val="22"/>
        </w:rPr>
        <w:t>临证用方，应以方证为中心，兼顾六经、脏腑、气血津液、寒热虚实、表里升降、运气背景、患者体质及复诊反馈。</w:t>
      </w:r>
    </w:p>
    <w:p w14:paraId="6E1159BE">
      <w:pPr>
        <w:pStyle w:val="4"/>
      </w:pPr>
      <w:r>
        <w:rPr>
          <w:rFonts w:ascii="Arial Unicode MS" w:hAnsi="Arial Unicode MS" w:eastAsia="Arial Unicode MS" w:cs="Arial Unicode MS"/>
          <w:b/>
          <w:color w:val="2E74B5"/>
          <w:sz w:val="26"/>
        </w:rPr>
        <w:t>7. 标准化传承观</w:t>
      </w:r>
    </w:p>
    <w:p w14:paraId="7CC8D2B6">
      <w:pPr>
        <w:spacing w:after="120" w:line="264" w:lineRule="auto"/>
        <w:ind w:firstLine="440"/>
      </w:pPr>
      <w:r>
        <w:rPr>
          <w:rFonts w:ascii="Arial Unicode MS" w:hAnsi="Arial Unicode MS" w:eastAsia="Arial Unicode MS" w:cs="Arial Unicode MS"/>
          <w:color w:val="14202D"/>
          <w:sz w:val="22"/>
        </w:rPr>
        <w:t>本法认为，真正的传承不是只传口诀与经验，而是将诊疗过程转化为清晰流程，将隐性经验转化为显性规则，将个体病案转化为可复盘资料，将师承教学转化为阶梯式训练。</w:t>
      </w:r>
    </w:p>
    <w:p w14:paraId="2B132019">
      <w:pPr>
        <w:spacing w:after="120" w:line="264" w:lineRule="auto"/>
        <w:ind w:firstLine="440"/>
      </w:pPr>
      <w:r>
        <w:rPr>
          <w:rFonts w:ascii="Arial Unicode MS" w:hAnsi="Arial Unicode MS" w:eastAsia="Arial Unicode MS" w:cs="Arial Unicode MS"/>
          <w:color w:val="14202D"/>
          <w:sz w:val="22"/>
        </w:rPr>
        <w:t>标准化并非僵化。标准化的目的，是使后学有门径、临床有依据、疗效可追踪、流派可延续。</w:t>
      </w:r>
    </w:p>
    <w:p w14:paraId="2C20E9D7">
      <w:pPr>
        <w:pStyle w:val="3"/>
      </w:pPr>
      <w:r>
        <w:rPr>
          <w:rFonts w:ascii="Arial Unicode MS" w:hAnsi="Arial Unicode MS" w:eastAsia="Arial Unicode MS" w:cs="Arial Unicode MS"/>
          <w:b/>
          <w:color w:val="2E74B5"/>
          <w:sz w:val="32"/>
        </w:rPr>
        <w:t>六、五运六气推演体系</w:t>
      </w:r>
    </w:p>
    <w:p w14:paraId="17D9A0E1">
      <w:pPr>
        <w:spacing w:after="120" w:line="264" w:lineRule="auto"/>
        <w:ind w:firstLine="440"/>
      </w:pPr>
      <w:r>
        <w:rPr>
          <w:rFonts w:ascii="Arial Unicode MS" w:hAnsi="Arial Unicode MS" w:eastAsia="Arial Unicode MS" w:cs="Arial Unicode MS"/>
          <w:color w:val="14202D"/>
          <w:sz w:val="22"/>
        </w:rPr>
        <w:t>五运六气推演，是泰山经方标准化诊疗法区别于一般经方流派的核心法门之一。本法所重，不只是“某年何运、何气司天在泉”，而是将五运六气落实为临床推演的具体路径。</w:t>
      </w:r>
    </w:p>
    <w:p w14:paraId="1509A44E">
      <w:pPr>
        <w:pStyle w:val="4"/>
      </w:pPr>
      <w:r>
        <w:rPr>
          <w:rFonts w:ascii="Arial Unicode MS" w:hAnsi="Arial Unicode MS" w:eastAsia="Arial Unicode MS" w:cs="Arial Unicode MS"/>
          <w:b/>
          <w:color w:val="2E74B5"/>
          <w:sz w:val="26"/>
        </w:rPr>
        <w:t>1. 推演总纲</w:t>
      </w:r>
    </w:p>
    <w:p w14:paraId="46D350AD">
      <w:pPr>
        <w:spacing w:after="120" w:line="264" w:lineRule="auto"/>
        <w:ind w:firstLine="440"/>
      </w:pPr>
      <w:r>
        <w:rPr>
          <w:rFonts w:ascii="Arial Unicode MS" w:hAnsi="Arial Unicode MS" w:eastAsia="Arial Unicode MS" w:cs="Arial Unicode MS"/>
          <w:color w:val="14202D"/>
          <w:sz w:val="22"/>
        </w:rPr>
        <w:t>本法将患者置于“出生气禀、性别阴阳、发病日气化”三重关系中考察。</w:t>
      </w:r>
    </w:p>
    <w:tbl>
      <w:tblPr>
        <w:tblStyle w:val="32"/>
        <w:tblW w:w="0" w:type="auto"/>
        <w:jc w:val="center"/>
        <w:tblLayout w:type="fixed"/>
        <w:tblCellMar>
          <w:top w:w="0" w:type="dxa"/>
          <w:left w:w="108" w:type="dxa"/>
          <w:bottom w:w="0" w:type="dxa"/>
          <w:right w:w="108" w:type="dxa"/>
        </w:tblCellMar>
      </w:tblPr>
      <w:tblGrid>
        <w:gridCol w:w="9360"/>
      </w:tblGrid>
      <w:tr w14:paraId="750C4FE3">
        <w:trPr>
          <w:jc w:val="center"/>
        </w:trPr>
        <w:tc>
          <w:tcPr>
            <w:tcW w:w="9072" w:type="dxa"/>
            <w:shd w:val="clear" w:color="auto" w:fill="F4F6F9"/>
          </w:tcPr>
          <w:p w14:paraId="442104B3">
            <w:pPr>
              <w:spacing w:after="60"/>
            </w:pPr>
            <w:r>
              <w:rPr>
                <w:rFonts w:ascii="Arial Unicode MS" w:hAnsi="Arial Unicode MS" w:eastAsia="Arial Unicode MS" w:cs="Arial Unicode MS"/>
                <w:b/>
                <w:color w:val="1F4D78"/>
                <w:sz w:val="21"/>
              </w:rPr>
              <w:t>基础三要素为：</w:t>
            </w:r>
          </w:p>
        </w:tc>
      </w:tr>
    </w:tbl>
    <w:p w14:paraId="5C2598DE">
      <w:pPr>
        <w:spacing w:after="40"/>
      </w:pPr>
    </w:p>
    <w:p w14:paraId="467343AB">
      <w:pPr>
        <w:spacing w:after="120" w:line="264" w:lineRule="auto"/>
        <w:ind w:firstLine="440"/>
      </w:pPr>
      <w:r>
        <w:rPr>
          <w:rFonts w:ascii="Arial Unicode MS" w:hAnsi="Arial Unicode MS" w:eastAsia="Arial Unicode MS" w:cs="Arial Unicode MS"/>
          <w:color w:val="14202D"/>
          <w:sz w:val="22"/>
        </w:rPr>
        <w:t>第一，患者出生年地支，即属相所属地支，用以代表个体先天气化位置；</w:t>
      </w:r>
    </w:p>
    <w:p w14:paraId="25197AAF">
      <w:pPr>
        <w:spacing w:after="120" w:line="264" w:lineRule="auto"/>
        <w:ind w:firstLine="440"/>
      </w:pPr>
      <w:r>
        <w:rPr>
          <w:rFonts w:ascii="Arial Unicode MS" w:hAnsi="Arial Unicode MS" w:eastAsia="Arial Unicode MS" w:cs="Arial Unicode MS"/>
          <w:color w:val="14202D"/>
          <w:sz w:val="22"/>
        </w:rPr>
        <w:t>第二，患者性别，用以判定阴阳顺逆及干支气化取用；</w:t>
      </w:r>
    </w:p>
    <w:p w14:paraId="2B213FCB">
      <w:pPr>
        <w:spacing w:after="120" w:line="264" w:lineRule="auto"/>
        <w:ind w:firstLine="440"/>
      </w:pPr>
      <w:r>
        <w:rPr>
          <w:rFonts w:ascii="Arial Unicode MS" w:hAnsi="Arial Unicode MS" w:eastAsia="Arial Unicode MS" w:cs="Arial Unicode MS"/>
          <w:color w:val="14202D"/>
          <w:sz w:val="22"/>
        </w:rPr>
        <w:t>第三，发病日干支，用以代表疾病发生时的天时气化状态。</w:t>
      </w:r>
    </w:p>
    <w:tbl>
      <w:tblPr>
        <w:tblStyle w:val="32"/>
        <w:tblW w:w="0" w:type="auto"/>
        <w:jc w:val="center"/>
        <w:tblLayout w:type="fixed"/>
        <w:tblCellMar>
          <w:top w:w="0" w:type="dxa"/>
          <w:left w:w="108" w:type="dxa"/>
          <w:bottom w:w="0" w:type="dxa"/>
          <w:right w:w="108" w:type="dxa"/>
        </w:tblCellMar>
      </w:tblPr>
      <w:tblGrid>
        <w:gridCol w:w="9360"/>
      </w:tblGrid>
      <w:tr w14:paraId="3170AC62">
        <w:trPr>
          <w:jc w:val="center"/>
        </w:trPr>
        <w:tc>
          <w:tcPr>
            <w:tcW w:w="9072" w:type="dxa"/>
            <w:shd w:val="clear" w:color="auto" w:fill="F4F6F9"/>
          </w:tcPr>
          <w:p w14:paraId="1576839C">
            <w:pPr>
              <w:spacing w:after="60"/>
            </w:pPr>
            <w:r>
              <w:rPr>
                <w:rFonts w:ascii="Arial Unicode MS" w:hAnsi="Arial Unicode MS" w:eastAsia="Arial Unicode MS" w:cs="Arial Unicode MS"/>
                <w:b/>
                <w:color w:val="1F4D78"/>
                <w:sz w:val="21"/>
              </w:rPr>
              <w:t>三者合参后，进入两条主要推演通道：</w:t>
            </w:r>
          </w:p>
        </w:tc>
      </w:tr>
    </w:tbl>
    <w:p w14:paraId="0AA57DD5">
      <w:pPr>
        <w:spacing w:after="40"/>
      </w:pPr>
    </w:p>
    <w:p w14:paraId="7B4994E6">
      <w:pPr>
        <w:spacing w:after="120" w:line="264" w:lineRule="auto"/>
        <w:ind w:firstLine="440"/>
      </w:pPr>
      <w:r>
        <w:rPr>
          <w:rFonts w:ascii="Arial Unicode MS" w:hAnsi="Arial Unicode MS" w:eastAsia="Arial Unicode MS" w:cs="Arial Unicode MS"/>
          <w:color w:val="14202D"/>
          <w:sz w:val="22"/>
        </w:rPr>
        <w:t>一为六气经络营卫辨病，重在求经络营卫之受病、六经归属、字号、证候与方剂；</w:t>
      </w:r>
    </w:p>
    <w:p w14:paraId="642CA282">
      <w:pPr>
        <w:spacing w:after="120" w:line="264" w:lineRule="auto"/>
        <w:ind w:firstLine="440"/>
      </w:pPr>
      <w:r>
        <w:rPr>
          <w:rFonts w:ascii="Arial Unicode MS" w:hAnsi="Arial Unicode MS" w:eastAsia="Arial Unicode MS" w:cs="Arial Unicode MS"/>
          <w:color w:val="14202D"/>
          <w:sz w:val="22"/>
        </w:rPr>
        <w:t>二为五运脏腑虚实辨病，重在求脏腑虚实之主病、行流、病性病位与方剂。</w:t>
      </w:r>
    </w:p>
    <w:p w14:paraId="6695700E">
      <w:pPr>
        <w:pStyle w:val="4"/>
      </w:pPr>
      <w:r>
        <w:rPr>
          <w:rFonts w:ascii="Arial Unicode MS" w:hAnsi="Arial Unicode MS" w:eastAsia="Arial Unicode MS" w:cs="Arial Unicode MS"/>
          <w:b/>
          <w:color w:val="2E74B5"/>
          <w:sz w:val="26"/>
        </w:rPr>
        <w:t>2. 六气经络营卫辨病</w:t>
      </w:r>
    </w:p>
    <w:p w14:paraId="6B6B6A09">
      <w:pPr>
        <w:spacing w:after="120" w:line="264" w:lineRule="auto"/>
        <w:ind w:firstLine="440"/>
      </w:pPr>
      <w:r>
        <w:rPr>
          <w:rFonts w:ascii="Arial Unicode MS" w:hAnsi="Arial Unicode MS" w:eastAsia="Arial Unicode MS" w:cs="Arial Unicode MS"/>
          <w:color w:val="14202D"/>
          <w:sz w:val="22"/>
        </w:rPr>
        <w:t>六气经络营卫辨病，主要解决“病从经络营卫何处受病、归于何经、何字号、何证候”的问题。</w:t>
      </w:r>
    </w:p>
    <w:p w14:paraId="21E1C882">
      <w:pPr>
        <w:spacing w:after="120" w:line="264" w:lineRule="auto"/>
        <w:ind w:firstLine="440"/>
      </w:pPr>
      <w:r>
        <w:rPr>
          <w:rFonts w:ascii="Arial Unicode MS" w:hAnsi="Arial Unicode MS" w:eastAsia="Arial Unicode MS" w:cs="Arial Unicode MS"/>
          <w:color w:val="14202D"/>
          <w:sz w:val="22"/>
        </w:rPr>
        <w:t>其推演要素为：</w:t>
      </w:r>
    </w:p>
    <w:p w14:paraId="69152ED5">
      <w:pPr>
        <w:spacing w:after="120" w:line="264" w:lineRule="auto"/>
        <w:ind w:firstLine="440"/>
      </w:pPr>
      <w:r>
        <w:rPr>
          <w:rFonts w:ascii="Arial Unicode MS" w:hAnsi="Arial Unicode MS" w:eastAsia="Arial Unicode MS" w:cs="Arial Unicode MS"/>
          <w:color w:val="14202D"/>
          <w:sz w:val="22"/>
        </w:rPr>
        <w:t>出生年地支、性别、发病日干支。</w:t>
      </w:r>
    </w:p>
    <w:p w14:paraId="0D0A6B55">
      <w:pPr>
        <w:spacing w:after="120" w:line="264" w:lineRule="auto"/>
        <w:ind w:firstLine="440"/>
      </w:pPr>
      <w:r>
        <w:rPr>
          <w:rFonts w:ascii="Arial Unicode MS" w:hAnsi="Arial Unicode MS" w:eastAsia="Arial Unicode MS" w:cs="Arial Unicode MS"/>
          <w:color w:val="14202D"/>
          <w:sz w:val="22"/>
        </w:rPr>
        <w:t>其标准化组合为：</w:t>
      </w:r>
    </w:p>
    <w:p w14:paraId="1BA1F68B">
      <w:pPr>
        <w:spacing w:after="120" w:line="264" w:lineRule="auto"/>
        <w:ind w:firstLine="440"/>
      </w:pPr>
      <w:r>
        <w:rPr>
          <w:rFonts w:ascii="Arial Unicode MS" w:hAnsi="Arial Unicode MS" w:eastAsia="Arial Unicode MS" w:cs="Arial Unicode MS"/>
          <w:color w:val="14202D"/>
          <w:sz w:val="22"/>
        </w:rPr>
        <w:t>男女各十二种出生年地支，每种出生年地支下配六十种发病日干支，合计一千四百四十种推演组合。</w:t>
      </w:r>
    </w:p>
    <w:tbl>
      <w:tblPr>
        <w:tblStyle w:val="32"/>
        <w:tblW w:w="0" w:type="auto"/>
        <w:jc w:val="center"/>
        <w:tblLayout w:type="fixed"/>
        <w:tblCellMar>
          <w:top w:w="0" w:type="dxa"/>
          <w:left w:w="108" w:type="dxa"/>
          <w:bottom w:w="0" w:type="dxa"/>
          <w:right w:w="108" w:type="dxa"/>
        </w:tblCellMar>
      </w:tblPr>
      <w:tblGrid>
        <w:gridCol w:w="9360"/>
      </w:tblGrid>
      <w:tr w14:paraId="03FE0537">
        <w:trPr>
          <w:jc w:val="center"/>
        </w:trPr>
        <w:tc>
          <w:tcPr>
            <w:tcW w:w="9072" w:type="dxa"/>
            <w:shd w:val="clear" w:color="auto" w:fill="F4F6F9"/>
          </w:tcPr>
          <w:p w14:paraId="5B1D3E6B">
            <w:pPr>
              <w:spacing w:after="60"/>
            </w:pPr>
            <w:r>
              <w:rPr>
                <w:rFonts w:ascii="Arial Unicode MS" w:hAnsi="Arial Unicode MS" w:eastAsia="Arial Unicode MS" w:cs="Arial Unicode MS"/>
                <w:b/>
                <w:color w:val="1F4D78"/>
                <w:sz w:val="21"/>
              </w:rPr>
              <w:t>其推演步骤可概括为：</w:t>
            </w:r>
          </w:p>
        </w:tc>
      </w:tr>
    </w:tbl>
    <w:p w14:paraId="53E3D7AB">
      <w:pPr>
        <w:spacing w:after="40"/>
      </w:pPr>
    </w:p>
    <w:p w14:paraId="5B622F2D">
      <w:pPr>
        <w:spacing w:after="120" w:line="264" w:lineRule="auto"/>
        <w:ind w:firstLine="440"/>
      </w:pPr>
      <w:r>
        <w:rPr>
          <w:rFonts w:ascii="Arial Unicode MS" w:hAnsi="Arial Unicode MS" w:eastAsia="Arial Unicode MS" w:cs="Arial Unicode MS"/>
          <w:color w:val="14202D"/>
          <w:sz w:val="22"/>
        </w:rPr>
        <w:t>第一，求病。以发病日地支阴阳为入口，结合患者属相地支推定六经受病。资料中有“阳日减二，阴日减四”之口诀，用以将属相地支与发病日阴阳转入六病归属。</w:t>
      </w:r>
    </w:p>
    <w:p w14:paraId="54BCDAB2">
      <w:pPr>
        <w:spacing w:after="120" w:line="264" w:lineRule="auto"/>
        <w:ind w:firstLine="440"/>
      </w:pPr>
      <w:r>
        <w:rPr>
          <w:rFonts w:ascii="Arial Unicode MS" w:hAnsi="Arial Unicode MS" w:eastAsia="Arial Unicode MS" w:cs="Arial Unicode MS"/>
          <w:color w:val="14202D"/>
          <w:sz w:val="22"/>
        </w:rPr>
        <w:t>第二，求字号。依据发病日地支与病种，定木、火、土、金、水、纪、天、人、地、乾、坤及痉、湿、暍、霍乱、劳复等字号或转归名目。</w:t>
      </w:r>
    </w:p>
    <w:p w14:paraId="16553997">
      <w:pPr>
        <w:spacing w:after="120" w:line="264" w:lineRule="auto"/>
        <w:ind w:firstLine="440"/>
        <w:rPr>
          <w:rFonts w:ascii="Arial Unicode MS" w:hAnsi="Arial Unicode MS" w:eastAsia="Arial Unicode MS" w:cs="Arial Unicode MS"/>
          <w:color w:val="14202D"/>
          <w:sz w:val="22"/>
        </w:rPr>
      </w:pPr>
      <w:r>
        <w:rPr>
          <w:rFonts w:ascii="Arial Unicode MS" w:hAnsi="Arial Unicode MS" w:eastAsia="Arial Unicode MS" w:cs="Arial Unicode MS"/>
          <w:color w:val="14202D"/>
          <w:sz w:val="22"/>
        </w:rPr>
        <w:t>第三，求证。以发病日天干、发病日地支、属相地支进行运算，得证号天干；</w:t>
      </w:r>
    </w:p>
    <w:p w14:paraId="0FA67935">
      <w:pPr>
        <w:spacing w:after="120" w:line="264" w:lineRule="auto"/>
        <w:ind w:firstLine="440"/>
        <w:rPr>
          <w:rFonts w:ascii="Arial Unicode MS" w:hAnsi="Arial Unicode MS" w:eastAsia="Arial Unicode MS" w:cs="Arial Unicode MS"/>
          <w:color w:val="14202D"/>
          <w:sz w:val="22"/>
        </w:rPr>
      </w:pPr>
      <w:r>
        <w:rPr>
          <w:rFonts w:ascii="Arial Unicode MS" w:hAnsi="Arial Unicode MS" w:eastAsia="Arial Unicode MS" w:cs="Arial Unicode MS"/>
          <w:color w:val="14202D"/>
          <w:sz w:val="22"/>
        </w:rPr>
        <w:t>第四，查方。以“病名、字号、证号”进入经方处方表，得主方、</w:t>
      </w:r>
    </w:p>
    <w:p w14:paraId="52594C5D">
      <w:pPr>
        <w:spacing w:after="120" w:line="264" w:lineRule="auto"/>
        <w:ind w:firstLine="440"/>
      </w:pPr>
      <w:r>
        <w:rPr>
          <w:rFonts w:ascii="Arial Unicode MS" w:hAnsi="Arial Unicode MS" w:eastAsia="Arial Unicode MS" w:cs="Arial Unicode MS"/>
          <w:color w:val="14202D"/>
          <w:sz w:val="22"/>
        </w:rPr>
        <w:t>第五，复核。将推演所得与主诉、现病史、四诊、难经五诊、脉诊、伤寒类证和方症评分合参，方可进入临床候选方案。</w:t>
      </w:r>
    </w:p>
    <w:p w14:paraId="49532699">
      <w:pPr>
        <w:spacing w:after="120" w:line="264" w:lineRule="auto"/>
        <w:ind w:firstLine="440"/>
      </w:pPr>
      <w:r>
        <w:rPr>
          <w:rFonts w:ascii="Arial Unicode MS" w:hAnsi="Arial Unicode MS" w:eastAsia="Arial Unicode MS" w:cs="Arial Unicode MS"/>
          <w:color w:val="14202D"/>
          <w:sz w:val="22"/>
        </w:rPr>
        <w:t>由此可见，本法的五运六气不是抽象背景，而是已经被转化为“输入、计算、定局、查方、复核”的标准化路径。</w:t>
      </w:r>
    </w:p>
    <w:p w14:paraId="670FEB29">
      <w:pPr>
        <w:pStyle w:val="4"/>
      </w:pPr>
      <w:r>
        <w:rPr>
          <w:rFonts w:ascii="Arial Unicode MS" w:hAnsi="Arial Unicode MS" w:eastAsia="Arial Unicode MS" w:cs="Arial Unicode MS"/>
          <w:b/>
          <w:color w:val="2E74B5"/>
          <w:sz w:val="26"/>
        </w:rPr>
        <w:t>3. 五运脏腑虚实辨病</w:t>
      </w:r>
    </w:p>
    <w:p w14:paraId="1F7A727A">
      <w:pPr>
        <w:spacing w:after="120" w:line="264" w:lineRule="auto"/>
        <w:ind w:firstLine="440"/>
      </w:pPr>
      <w:r>
        <w:rPr>
          <w:rFonts w:ascii="Arial Unicode MS" w:hAnsi="Arial Unicode MS" w:eastAsia="Arial Unicode MS" w:cs="Arial Unicode MS"/>
          <w:color w:val="14202D"/>
          <w:sz w:val="22"/>
        </w:rPr>
        <w:t>五运脏腑虚实辨病，主要解决“何邪袭何脏腑、主病如何行流、病性病位如何合成”的问题。</w:t>
      </w:r>
    </w:p>
    <w:p w14:paraId="290A0F45">
      <w:pPr>
        <w:spacing w:after="120" w:line="264" w:lineRule="auto"/>
        <w:ind w:firstLine="440"/>
      </w:pPr>
      <w:r>
        <w:rPr>
          <w:rFonts w:ascii="Arial Unicode MS" w:hAnsi="Arial Unicode MS" w:eastAsia="Arial Unicode MS" w:cs="Arial Unicode MS"/>
          <w:color w:val="14202D"/>
          <w:sz w:val="22"/>
        </w:rPr>
        <w:t>其推演要素为：</w:t>
      </w:r>
    </w:p>
    <w:p w14:paraId="11D1C7E2">
      <w:pPr>
        <w:spacing w:after="120" w:line="264" w:lineRule="auto"/>
        <w:ind w:firstLine="440"/>
      </w:pPr>
      <w:r>
        <w:rPr>
          <w:rFonts w:ascii="Arial Unicode MS" w:hAnsi="Arial Unicode MS" w:eastAsia="Arial Unicode MS" w:cs="Arial Unicode MS"/>
          <w:color w:val="14202D"/>
          <w:sz w:val="22"/>
        </w:rPr>
        <w:t>出生年地支、性别、发病日天干。</w:t>
      </w:r>
    </w:p>
    <w:p w14:paraId="4177B56F">
      <w:pPr>
        <w:spacing w:after="120" w:line="264" w:lineRule="auto"/>
        <w:ind w:firstLine="440"/>
      </w:pPr>
      <w:r>
        <w:rPr>
          <w:rFonts w:ascii="Arial Unicode MS" w:hAnsi="Arial Unicode MS" w:eastAsia="Arial Unicode MS" w:cs="Arial Unicode MS"/>
          <w:color w:val="14202D"/>
          <w:sz w:val="22"/>
        </w:rPr>
        <w:t>其标准化组合为：</w:t>
      </w:r>
    </w:p>
    <w:p w14:paraId="0DA061F6">
      <w:pPr>
        <w:spacing w:after="120" w:line="264" w:lineRule="auto"/>
        <w:ind w:firstLine="440"/>
      </w:pPr>
      <w:r>
        <w:rPr>
          <w:rFonts w:ascii="Arial Unicode MS" w:hAnsi="Arial Unicode MS" w:eastAsia="Arial Unicode MS" w:cs="Arial Unicode MS"/>
          <w:color w:val="14202D"/>
          <w:sz w:val="22"/>
        </w:rPr>
        <w:t>男女各十二种出生年地支，每种出生年地支下配十种发病日天干，合计二百四十种推演组合。</w:t>
      </w:r>
    </w:p>
    <w:p w14:paraId="153BC79D">
      <w:pPr>
        <w:spacing w:after="120" w:line="264" w:lineRule="auto"/>
        <w:ind w:firstLine="440"/>
      </w:pPr>
      <w:r>
        <w:rPr>
          <w:rFonts w:ascii="Arial Unicode MS" w:hAnsi="Arial Unicode MS" w:eastAsia="Arial Unicode MS" w:cs="Arial Unicode MS"/>
          <w:color w:val="14202D"/>
          <w:sz w:val="22"/>
        </w:rPr>
        <w:t>此通道以“天气定病性、地气定病位”为基本思想。病性可归风、寒、暑、湿、燥、</w:t>
      </w:r>
      <w:r>
        <w:rPr>
          <w:rFonts w:hint="eastAsia" w:cs="Arial Unicode MS"/>
          <w:color w:val="14202D"/>
          <w:sz w:val="22"/>
          <w:lang w:val="en-US" w:eastAsia="zh-CN"/>
        </w:rPr>
        <w:t>热</w:t>
      </w:r>
      <w:r>
        <w:rPr>
          <w:rFonts w:ascii="Arial Unicode MS" w:hAnsi="Arial Unicode MS" w:eastAsia="Arial Unicode MS" w:cs="Arial Unicode MS"/>
          <w:color w:val="14202D"/>
          <w:sz w:val="22"/>
        </w:rPr>
        <w:t>、温等邪；病位可归心、肝、脾、肺、肾、胆、小肠、胃、大肠、膀胱、心包、三焦等经络脏腑。</w:t>
      </w:r>
    </w:p>
    <w:p w14:paraId="7878E2DB">
      <w:pPr>
        <w:spacing w:after="120" w:line="264" w:lineRule="auto"/>
        <w:ind w:firstLine="440"/>
      </w:pPr>
      <w:r>
        <w:rPr>
          <w:rFonts w:ascii="Arial Unicode MS" w:hAnsi="Arial Unicode MS" w:eastAsia="Arial Unicode MS" w:cs="Arial Unicode MS"/>
          <w:color w:val="14202D"/>
          <w:sz w:val="22"/>
        </w:rPr>
        <w:t>推演时，以发病日天干为天气变量，以出生年地支与性别为个体气化变量，经过阴阳顺逆、五行配属、起点终点推步，形成“病性加临病位”的结论。例如可推为寒邪袭肺、风邪袭肝、燥邪乘大肠、</w:t>
      </w:r>
      <w:r>
        <w:rPr>
          <w:rFonts w:hint="eastAsia" w:cs="Arial Unicode MS"/>
          <w:color w:val="14202D"/>
          <w:sz w:val="22"/>
          <w:lang w:val="en-US" w:eastAsia="zh-CN"/>
        </w:rPr>
        <w:t>热</w:t>
      </w:r>
      <w:r>
        <w:rPr>
          <w:rFonts w:ascii="Arial Unicode MS" w:hAnsi="Arial Unicode MS" w:eastAsia="Arial Unicode MS" w:cs="Arial Unicode MS"/>
          <w:color w:val="14202D"/>
          <w:sz w:val="22"/>
        </w:rPr>
        <w:t>邪袭小肠等，再进入主病、行流、诊断和方剂表。</w:t>
      </w:r>
    </w:p>
    <w:p w14:paraId="3C2C4538">
      <w:pPr>
        <w:spacing w:after="120" w:line="264" w:lineRule="auto"/>
        <w:ind w:firstLine="440"/>
      </w:pPr>
      <w:r>
        <w:rPr>
          <w:rFonts w:ascii="Arial Unicode MS" w:hAnsi="Arial Unicode MS" w:eastAsia="Arial Unicode MS" w:cs="Arial Unicode MS"/>
          <w:color w:val="14202D"/>
          <w:sz w:val="22"/>
        </w:rPr>
        <w:t>本流派已有“主病、行流、诊断、主病行流病机、方剂”等结构化资料，说明脏腑虚实推演已经具备可编码、可检索、可复盘的标准化基础。</w:t>
      </w:r>
    </w:p>
    <w:p w14:paraId="65134D35">
      <w:pPr>
        <w:pStyle w:val="4"/>
      </w:pPr>
      <w:r>
        <w:rPr>
          <w:rFonts w:ascii="Arial Unicode MS" w:hAnsi="Arial Unicode MS" w:eastAsia="Arial Unicode MS" w:cs="Arial Unicode MS"/>
          <w:b/>
          <w:color w:val="2E74B5"/>
          <w:sz w:val="26"/>
        </w:rPr>
        <w:t>4. 先天体质推演</w:t>
      </w:r>
    </w:p>
    <w:p w14:paraId="47F2BF34">
      <w:pPr>
        <w:spacing w:after="120" w:line="264" w:lineRule="auto"/>
        <w:ind w:firstLine="440"/>
      </w:pPr>
      <w:r>
        <w:rPr>
          <w:rFonts w:ascii="Arial Unicode MS" w:hAnsi="Arial Unicode MS" w:eastAsia="Arial Unicode MS" w:cs="Arial Unicode MS"/>
          <w:color w:val="14202D"/>
          <w:sz w:val="22"/>
        </w:rPr>
        <w:t>本法还将出生日期、性别、属相、生日干支用于先天体质推演。其基本链路为：</w:t>
      </w:r>
    </w:p>
    <w:p w14:paraId="3C6E3B0A">
      <w:pPr>
        <w:spacing w:after="120" w:line="264" w:lineRule="auto"/>
        <w:ind w:firstLine="440"/>
      </w:pPr>
      <w:r>
        <w:rPr>
          <w:rFonts w:ascii="Arial Unicode MS" w:hAnsi="Arial Unicode MS" w:eastAsia="Arial Unicode MS" w:cs="Arial Unicode MS"/>
          <w:color w:val="14202D"/>
          <w:sz w:val="22"/>
        </w:rPr>
        <w:t>出生日期推属相与出生年地支，生日推干支，结合性别</w:t>
      </w:r>
      <w:bookmarkStart w:id="0" w:name="_GoBack"/>
      <w:bookmarkEnd w:id="0"/>
      <w:r>
        <w:rPr>
          <w:rFonts w:ascii="Arial Unicode MS" w:hAnsi="Arial Unicode MS" w:eastAsia="Arial Unicode MS" w:cs="Arial Unicode MS"/>
          <w:color w:val="14202D"/>
          <w:sz w:val="22"/>
        </w:rPr>
        <w:t>推判断体质方剂、体质属性、治疗原则、方宜、天度方位、值令经络和值令脏腑。</w:t>
      </w:r>
    </w:p>
    <w:p w14:paraId="6048EB5B">
      <w:pPr>
        <w:spacing w:after="120" w:line="264" w:lineRule="auto"/>
        <w:ind w:firstLine="440"/>
      </w:pPr>
      <w:r>
        <w:rPr>
          <w:rFonts w:ascii="Arial Unicode MS" w:hAnsi="Arial Unicode MS" w:eastAsia="Arial Unicode MS" w:cs="Arial Unicode MS"/>
          <w:color w:val="14202D"/>
          <w:sz w:val="22"/>
        </w:rPr>
        <w:t>此项不用于替代临床诊断，而用于治未病、体质调养、每日经络疏通建议和个体化食疗建议的基础框架。</w:t>
      </w:r>
    </w:p>
    <w:p w14:paraId="0F664E67">
      <w:pPr>
        <w:pStyle w:val="4"/>
      </w:pPr>
      <w:r>
        <w:rPr>
          <w:rFonts w:ascii="Arial Unicode MS" w:hAnsi="Arial Unicode MS" w:eastAsia="Arial Unicode MS" w:cs="Arial Unicode MS"/>
          <w:b/>
          <w:color w:val="2E74B5"/>
          <w:sz w:val="26"/>
        </w:rPr>
        <w:t>5. 高风险日研究</w:t>
      </w:r>
    </w:p>
    <w:p w14:paraId="48922F0F">
      <w:pPr>
        <w:spacing w:after="120" w:line="264" w:lineRule="auto"/>
        <w:ind w:firstLine="440"/>
      </w:pPr>
      <w:r>
        <w:rPr>
          <w:rFonts w:ascii="Arial Unicode MS" w:hAnsi="Arial Unicode MS" w:eastAsia="Arial Unicode MS" w:cs="Arial Unicode MS"/>
          <w:color w:val="14202D"/>
          <w:sz w:val="22"/>
        </w:rPr>
        <w:t>本法保留伤寒钤法高风险日预测作为传承研究内容。经络病高风险日可依据原发病日阴阳、病种字号、属相地支、原始证号等反推候选干支；脏腑病高风险日可依据发病日天干及合干推算。</w:t>
      </w:r>
    </w:p>
    <w:p w14:paraId="3F74A3EB">
      <w:pPr>
        <w:spacing w:after="120" w:line="264" w:lineRule="auto"/>
        <w:ind w:firstLine="440"/>
      </w:pPr>
      <w:r>
        <w:rPr>
          <w:rFonts w:ascii="Arial Unicode MS" w:hAnsi="Arial Unicode MS" w:eastAsia="Arial Unicode MS" w:cs="Arial Unicode MS"/>
          <w:color w:val="14202D"/>
          <w:sz w:val="22"/>
        </w:rPr>
        <w:t>此项只作为医案复盘、传承研究和内部探索，不作为公众科普或自动治疗依据。凡涉及提前干预、复用原方或预防用药，必须经执业医师判断。</w:t>
      </w:r>
    </w:p>
    <w:p w14:paraId="6A04F063">
      <w:pPr>
        <w:pStyle w:val="4"/>
      </w:pPr>
      <w:r>
        <w:rPr>
          <w:rFonts w:ascii="Arial Unicode MS" w:hAnsi="Arial Unicode MS" w:eastAsia="Arial Unicode MS" w:cs="Arial Unicode MS"/>
          <w:b/>
          <w:color w:val="2E74B5"/>
          <w:sz w:val="26"/>
        </w:rPr>
        <w:t>6. 推演边界</w:t>
      </w:r>
    </w:p>
    <w:p w14:paraId="5EEBB499">
      <w:pPr>
        <w:spacing w:after="120" w:line="264" w:lineRule="auto"/>
        <w:ind w:firstLine="440"/>
      </w:pPr>
      <w:r>
        <w:rPr>
          <w:rFonts w:ascii="Arial Unicode MS" w:hAnsi="Arial Unicode MS" w:eastAsia="Arial Unicode MS" w:cs="Arial Unicode MS"/>
          <w:color w:val="14202D"/>
          <w:sz w:val="22"/>
        </w:rPr>
        <w:t>五运六气推演在本法中具有核心地位，但它不是孤立裁断。</w:t>
      </w:r>
    </w:p>
    <w:tbl>
      <w:tblPr>
        <w:tblStyle w:val="32"/>
        <w:tblW w:w="0" w:type="auto"/>
        <w:jc w:val="center"/>
        <w:tblLayout w:type="fixed"/>
        <w:tblCellMar>
          <w:top w:w="0" w:type="dxa"/>
          <w:left w:w="108" w:type="dxa"/>
          <w:bottom w:w="0" w:type="dxa"/>
          <w:right w:w="108" w:type="dxa"/>
        </w:tblCellMar>
      </w:tblPr>
      <w:tblGrid>
        <w:gridCol w:w="9360"/>
      </w:tblGrid>
      <w:tr w14:paraId="32A813F0">
        <w:trPr>
          <w:jc w:val="center"/>
        </w:trPr>
        <w:tc>
          <w:tcPr>
            <w:tcW w:w="9072" w:type="dxa"/>
            <w:shd w:val="clear" w:color="auto" w:fill="F4F6F9"/>
          </w:tcPr>
          <w:p w14:paraId="4C129B3D">
            <w:pPr>
              <w:spacing w:after="60"/>
            </w:pPr>
            <w:r>
              <w:rPr>
                <w:rFonts w:ascii="Arial Unicode MS" w:hAnsi="Arial Unicode MS" w:eastAsia="Arial Unicode MS" w:cs="Arial Unicode MS"/>
                <w:b/>
                <w:color w:val="1F4D78"/>
                <w:sz w:val="21"/>
              </w:rPr>
              <w:t>其边界为：</w:t>
            </w:r>
          </w:p>
        </w:tc>
      </w:tr>
    </w:tbl>
    <w:p w14:paraId="51515C8F">
      <w:pPr>
        <w:spacing w:after="40"/>
      </w:pPr>
    </w:p>
    <w:p w14:paraId="423407A4">
      <w:pPr>
        <w:spacing w:after="120" w:line="264" w:lineRule="auto"/>
        <w:ind w:firstLine="440"/>
      </w:pPr>
      <w:r>
        <w:rPr>
          <w:rFonts w:ascii="Arial Unicode MS" w:hAnsi="Arial Unicode MS" w:eastAsia="Arial Unicode MS" w:cs="Arial Unicode MS"/>
          <w:color w:val="14202D"/>
          <w:sz w:val="22"/>
        </w:rPr>
        <w:t>有主诉病史，方可入推演；</w:t>
      </w:r>
    </w:p>
    <w:p w14:paraId="5FF2B8C8">
      <w:pPr>
        <w:spacing w:after="120" w:line="264" w:lineRule="auto"/>
        <w:ind w:firstLine="440"/>
      </w:pPr>
      <w:r>
        <w:rPr>
          <w:rFonts w:ascii="Arial Unicode MS" w:hAnsi="Arial Unicode MS" w:eastAsia="Arial Unicode MS" w:cs="Arial Unicode MS"/>
          <w:color w:val="14202D"/>
          <w:sz w:val="22"/>
        </w:rPr>
        <w:t>有四诊外候，方可作校验；</w:t>
      </w:r>
    </w:p>
    <w:p w14:paraId="049BD85F">
      <w:pPr>
        <w:spacing w:after="120" w:line="264" w:lineRule="auto"/>
        <w:ind w:firstLine="440"/>
      </w:pPr>
      <w:r>
        <w:rPr>
          <w:rFonts w:ascii="Arial Unicode MS" w:hAnsi="Arial Unicode MS" w:eastAsia="Arial Unicode MS" w:cs="Arial Unicode MS"/>
          <w:color w:val="14202D"/>
          <w:sz w:val="22"/>
        </w:rPr>
        <w:t>有脉证互参，方可定病机；</w:t>
      </w:r>
    </w:p>
    <w:p w14:paraId="79E80E52">
      <w:pPr>
        <w:spacing w:after="120" w:line="264" w:lineRule="auto"/>
        <w:ind w:firstLine="440"/>
      </w:pPr>
      <w:r>
        <w:rPr>
          <w:rFonts w:ascii="Arial Unicode MS" w:hAnsi="Arial Unicode MS" w:eastAsia="Arial Unicode MS" w:cs="Arial Unicode MS"/>
          <w:color w:val="14202D"/>
          <w:sz w:val="22"/>
        </w:rPr>
        <w:t>有方证相应，方可列候选方；</w:t>
      </w:r>
    </w:p>
    <w:p w14:paraId="22DF677D">
      <w:pPr>
        <w:spacing w:after="120" w:line="264" w:lineRule="auto"/>
        <w:ind w:firstLine="440"/>
      </w:pPr>
      <w:r>
        <w:rPr>
          <w:rFonts w:ascii="Arial Unicode MS" w:hAnsi="Arial Unicode MS" w:eastAsia="Arial Unicode MS" w:cs="Arial Unicode MS"/>
          <w:color w:val="14202D"/>
          <w:sz w:val="22"/>
        </w:rPr>
        <w:t>有复诊疗效，方可证其法；</w:t>
      </w:r>
    </w:p>
    <w:p w14:paraId="594C8153">
      <w:pPr>
        <w:spacing w:after="120" w:line="264" w:lineRule="auto"/>
        <w:ind w:firstLine="440"/>
      </w:pPr>
      <w:r>
        <w:rPr>
          <w:rFonts w:ascii="Arial Unicode MS" w:hAnsi="Arial Unicode MS" w:eastAsia="Arial Unicode MS" w:cs="Arial Unicode MS"/>
          <w:color w:val="14202D"/>
          <w:sz w:val="22"/>
        </w:rPr>
        <w:t>有风险禁忌，方可久远传承。</w:t>
      </w:r>
    </w:p>
    <w:p w14:paraId="7901A650">
      <w:pPr>
        <w:pStyle w:val="3"/>
      </w:pPr>
      <w:r>
        <w:rPr>
          <w:rFonts w:ascii="Arial Unicode MS" w:hAnsi="Arial Unicode MS" w:eastAsia="Arial Unicode MS" w:cs="Arial Unicode MS"/>
          <w:b/>
          <w:color w:val="2E74B5"/>
          <w:sz w:val="32"/>
        </w:rPr>
        <w:t>七、诊疗总流程</w:t>
      </w:r>
    </w:p>
    <w:p w14:paraId="1606ECA0">
      <w:pPr>
        <w:spacing w:after="120" w:line="264" w:lineRule="auto"/>
        <w:ind w:firstLine="440"/>
      </w:pPr>
      <w:r>
        <w:rPr>
          <w:rFonts w:ascii="Arial Unicode MS" w:hAnsi="Arial Unicode MS" w:eastAsia="Arial Unicode MS" w:cs="Arial Unicode MS"/>
          <w:color w:val="14202D"/>
          <w:sz w:val="22"/>
        </w:rPr>
        <w:t>泰山经方标准化诊疗法的临床流程，可概括为十二步。</w:t>
      </w:r>
    </w:p>
    <w:p w14:paraId="0C973979">
      <w:pPr>
        <w:spacing w:after="120" w:line="264" w:lineRule="auto"/>
        <w:ind w:firstLine="440"/>
      </w:pPr>
      <w:r>
        <w:rPr>
          <w:rFonts w:ascii="Arial Unicode MS" w:hAnsi="Arial Unicode MS" w:eastAsia="Arial Unicode MS" w:cs="Arial Unicode MS"/>
          <w:color w:val="14202D"/>
          <w:sz w:val="22"/>
        </w:rPr>
        <w:t>第一步，采集基础病史。包括主诉、现病史、既往史、个人史、过敏史、用药史、特殊人群情况等。</w:t>
      </w:r>
    </w:p>
    <w:p w14:paraId="2E7AE1C3">
      <w:pPr>
        <w:spacing w:after="120" w:line="264" w:lineRule="auto"/>
        <w:ind w:firstLine="440"/>
      </w:pPr>
      <w:r>
        <w:rPr>
          <w:rFonts w:ascii="Arial Unicode MS" w:hAnsi="Arial Unicode MS" w:eastAsia="Arial Unicode MS" w:cs="Arial Unicode MS"/>
          <w:color w:val="14202D"/>
          <w:sz w:val="22"/>
        </w:rPr>
        <w:t>第二步，采集时空要素。包括出生日期、出生年地支、属相、性别、发病日期、发病日干支、就诊日期、节气和必要的地域气候信息。</w:t>
      </w:r>
    </w:p>
    <w:p w14:paraId="7688E4E5">
      <w:pPr>
        <w:spacing w:after="120" w:line="264" w:lineRule="auto"/>
        <w:ind w:firstLine="440"/>
      </w:pPr>
      <w:r>
        <w:rPr>
          <w:rFonts w:ascii="Arial Unicode MS" w:hAnsi="Arial Unicode MS" w:eastAsia="Arial Unicode MS" w:cs="Arial Unicode MS"/>
          <w:color w:val="14202D"/>
          <w:sz w:val="22"/>
        </w:rPr>
        <w:t>第三步，进行六气经络营卫推演。按出生年地支、性别、发病日干支求病、求字号、求证、查方。</w:t>
      </w:r>
    </w:p>
    <w:p w14:paraId="298478A5">
      <w:pPr>
        <w:spacing w:after="120" w:line="264" w:lineRule="auto"/>
        <w:ind w:firstLine="440"/>
      </w:pPr>
      <w:r>
        <w:rPr>
          <w:rFonts w:ascii="Arial Unicode MS" w:hAnsi="Arial Unicode MS" w:eastAsia="Arial Unicode MS" w:cs="Arial Unicode MS"/>
          <w:color w:val="14202D"/>
          <w:sz w:val="22"/>
        </w:rPr>
        <w:t>第四步，进行五运脏腑虚实推演。按出生年地支、性别、发病日天干求病性、病位、主病、行流和候选方。</w:t>
      </w:r>
    </w:p>
    <w:p w14:paraId="4627C3D1">
      <w:pPr>
        <w:spacing w:after="120" w:line="264" w:lineRule="auto"/>
        <w:ind w:firstLine="440"/>
      </w:pPr>
      <w:r>
        <w:rPr>
          <w:rFonts w:ascii="Arial Unicode MS" w:hAnsi="Arial Unicode MS" w:eastAsia="Arial Unicode MS" w:cs="Arial Unicode MS"/>
          <w:color w:val="14202D"/>
          <w:sz w:val="22"/>
        </w:rPr>
        <w:t>第五步，进行难经五诊采集。以五色、五嗅、五味、五声、五液为入口，记录二十五类外候信息。</w:t>
      </w:r>
    </w:p>
    <w:p w14:paraId="1E936CAF">
      <w:pPr>
        <w:spacing w:after="120" w:line="264" w:lineRule="auto"/>
        <w:ind w:firstLine="440"/>
      </w:pPr>
      <w:r>
        <w:rPr>
          <w:rFonts w:ascii="Arial Unicode MS" w:hAnsi="Arial Unicode MS" w:eastAsia="Arial Unicode MS" w:cs="Arial Unicode MS"/>
          <w:color w:val="14202D"/>
          <w:sz w:val="22"/>
        </w:rPr>
        <w:t>第六步，进行难经脉诊采集。按寸关尺、左右、浮中沉、脉象病性和脉位病位记录。</w:t>
      </w:r>
    </w:p>
    <w:p w14:paraId="2F3174FF">
      <w:pPr>
        <w:spacing w:after="120" w:line="264" w:lineRule="auto"/>
        <w:ind w:firstLine="440"/>
      </w:pPr>
      <w:r>
        <w:rPr>
          <w:rFonts w:ascii="Arial Unicode MS" w:hAnsi="Arial Unicode MS" w:eastAsia="Arial Unicode MS" w:cs="Arial Unicode MS"/>
          <w:color w:val="14202D"/>
          <w:sz w:val="22"/>
        </w:rPr>
        <w:t>第七步，进行伤寒类证鉴别。以主诉为当前倾向，从五十门主诉及第一至第五梯队兼证中层层选择，寻找对应方剂和鉴别要点。</w:t>
      </w:r>
    </w:p>
    <w:p w14:paraId="7AC210FC">
      <w:pPr>
        <w:spacing w:after="120" w:line="264" w:lineRule="auto"/>
        <w:ind w:firstLine="440"/>
      </w:pPr>
      <w:r>
        <w:rPr>
          <w:rFonts w:ascii="Arial Unicode MS" w:hAnsi="Arial Unicode MS" w:eastAsia="Arial Unicode MS" w:cs="Arial Unicode MS"/>
          <w:color w:val="14202D"/>
          <w:sz w:val="22"/>
        </w:rPr>
        <w:t>第八步，进行方症评分。结合《伤寒论》条文、主症、兼症、加分项和禁忌，形成候选方排序。</w:t>
      </w:r>
    </w:p>
    <w:p w14:paraId="1B2C8769">
      <w:pPr>
        <w:spacing w:after="120" w:line="264" w:lineRule="auto"/>
        <w:ind w:firstLine="440"/>
      </w:pPr>
      <w:r>
        <w:rPr>
          <w:rFonts w:ascii="Arial Unicode MS" w:hAnsi="Arial Unicode MS" w:eastAsia="Arial Unicode MS" w:cs="Arial Unicode MS"/>
          <w:color w:val="14202D"/>
          <w:sz w:val="22"/>
        </w:rPr>
        <w:t>第九步，汇总合参。将经络营卫、脏腑虚实、难经五诊、脉诊、类证鉴别、方症评分、病史和复诊反馈统一分析。</w:t>
      </w:r>
    </w:p>
    <w:p w14:paraId="0CD8F502">
      <w:pPr>
        <w:spacing w:after="120" w:line="264" w:lineRule="auto"/>
        <w:ind w:firstLine="440"/>
      </w:pPr>
      <w:r>
        <w:rPr>
          <w:rFonts w:ascii="Arial Unicode MS" w:hAnsi="Arial Unicode MS" w:eastAsia="Arial Unicode MS" w:cs="Arial Unicode MS"/>
          <w:color w:val="14202D"/>
          <w:sz w:val="22"/>
        </w:rPr>
        <w:t>第十步，医师裁断。传承人或合格医师判断支持项、冲突项、主次项、风险项，选定最佳方案。</w:t>
      </w:r>
    </w:p>
    <w:p w14:paraId="083E138C">
      <w:pPr>
        <w:spacing w:after="120" w:line="264" w:lineRule="auto"/>
        <w:ind w:firstLine="440"/>
      </w:pPr>
      <w:r>
        <w:rPr>
          <w:rFonts w:ascii="Arial Unicode MS" w:hAnsi="Arial Unicode MS" w:eastAsia="Arial Unicode MS" w:cs="Arial Unicode MS"/>
          <w:color w:val="14202D"/>
          <w:sz w:val="22"/>
        </w:rPr>
        <w:t>第十一步，处方与告知。明确主方、备选方、剂量、煎服法、禁忌、观察重点和复诊时间。</w:t>
      </w:r>
    </w:p>
    <w:p w14:paraId="50AE7A18">
      <w:pPr>
        <w:spacing w:after="120" w:line="264" w:lineRule="auto"/>
        <w:ind w:firstLine="440"/>
      </w:pPr>
      <w:r>
        <w:rPr>
          <w:rFonts w:ascii="Arial Unicode MS" w:hAnsi="Arial Unicode MS" w:eastAsia="Arial Unicode MS" w:cs="Arial Unicode MS"/>
          <w:color w:val="14202D"/>
          <w:sz w:val="22"/>
        </w:rPr>
        <w:t>第十二步，复诊验效。记录症状、脉象、外候、生活质量、不良反应和处方调整理由。</w:t>
      </w:r>
    </w:p>
    <w:p w14:paraId="051F0519">
      <w:pPr>
        <w:pStyle w:val="3"/>
      </w:pPr>
      <w:r>
        <w:rPr>
          <w:rFonts w:ascii="Arial Unicode MS" w:hAnsi="Arial Unicode MS" w:eastAsia="Arial Unicode MS" w:cs="Arial Unicode MS"/>
          <w:b/>
          <w:color w:val="2E74B5"/>
          <w:sz w:val="32"/>
        </w:rPr>
        <w:t>八、诊断体系</w:t>
      </w:r>
    </w:p>
    <w:p w14:paraId="02640FA2">
      <w:pPr>
        <w:spacing w:after="120" w:line="264" w:lineRule="auto"/>
        <w:ind w:firstLine="440"/>
      </w:pPr>
      <w:r>
        <w:rPr>
          <w:rFonts w:ascii="Arial Unicode MS" w:hAnsi="Arial Unicode MS" w:eastAsia="Arial Unicode MS" w:cs="Arial Unicode MS"/>
          <w:color w:val="14202D"/>
          <w:sz w:val="22"/>
        </w:rPr>
        <w:t>本法诊断体系由传统“四诊合参”扩展为“时象脉证合参”。</w:t>
      </w:r>
    </w:p>
    <w:p w14:paraId="2ABAB539">
      <w:pPr>
        <w:pStyle w:val="4"/>
      </w:pPr>
      <w:r>
        <w:rPr>
          <w:rFonts w:ascii="Arial Unicode MS" w:hAnsi="Arial Unicode MS" w:eastAsia="Arial Unicode MS" w:cs="Arial Unicode MS"/>
          <w:b/>
          <w:color w:val="2E74B5"/>
          <w:sz w:val="26"/>
        </w:rPr>
        <w:t>1. 时：干支运气推演</w:t>
      </w:r>
    </w:p>
    <w:p w14:paraId="0C2B567E">
      <w:pPr>
        <w:spacing w:after="120" w:line="264" w:lineRule="auto"/>
        <w:ind w:firstLine="440"/>
      </w:pPr>
      <w:r>
        <w:rPr>
          <w:rFonts w:ascii="Arial Unicode MS" w:hAnsi="Arial Unicode MS" w:eastAsia="Arial Unicode MS" w:cs="Arial Unicode MS"/>
          <w:color w:val="14202D"/>
          <w:sz w:val="22"/>
        </w:rPr>
        <w:t>时，是本法诊断体系的第一层。它包括出生年地支、性别、发病日干支、发病日天干、节气、岁运、六气和病程节律。</w:t>
      </w:r>
    </w:p>
    <w:p w14:paraId="799D9A95">
      <w:pPr>
        <w:spacing w:after="120" w:line="264" w:lineRule="auto"/>
        <w:ind w:firstLine="440"/>
      </w:pPr>
      <w:r>
        <w:rPr>
          <w:rFonts w:ascii="Arial Unicode MS" w:hAnsi="Arial Unicode MS" w:eastAsia="Arial Unicode MS" w:cs="Arial Unicode MS"/>
          <w:color w:val="14202D"/>
          <w:sz w:val="22"/>
        </w:rPr>
        <w:t>本法以时推势，以时定局，以时入方，但不以时废证。运气推演所得，只能作为病机候选和方证线索，必须接受四诊与疗效复核。</w:t>
      </w:r>
    </w:p>
    <w:p w14:paraId="74784F42">
      <w:pPr>
        <w:pStyle w:val="4"/>
      </w:pPr>
      <w:r>
        <w:rPr>
          <w:rFonts w:ascii="Arial Unicode MS" w:hAnsi="Arial Unicode MS" w:eastAsia="Arial Unicode MS" w:cs="Arial Unicode MS"/>
          <w:b/>
          <w:color w:val="2E74B5"/>
          <w:sz w:val="26"/>
        </w:rPr>
        <w:t>2. 象：难经五诊</w:t>
      </w:r>
    </w:p>
    <w:p w14:paraId="45004CCB">
      <w:pPr>
        <w:spacing w:after="120" w:line="264" w:lineRule="auto"/>
        <w:ind w:firstLine="440"/>
      </w:pPr>
      <w:r>
        <w:rPr>
          <w:rFonts w:ascii="Arial Unicode MS" w:hAnsi="Arial Unicode MS" w:eastAsia="Arial Unicode MS" w:cs="Arial Unicode MS"/>
          <w:color w:val="14202D"/>
          <w:sz w:val="22"/>
        </w:rPr>
        <w:t>五色、五嗅、五味、五声、五液，是人体外候的标准化入口。</w:t>
      </w:r>
    </w:p>
    <w:p w14:paraId="1DC507B1">
      <w:pPr>
        <w:spacing w:after="120" w:line="264" w:lineRule="auto"/>
        <w:ind w:firstLine="440"/>
      </w:pPr>
      <w:r>
        <w:rPr>
          <w:rFonts w:ascii="Arial Unicode MS" w:hAnsi="Arial Unicode MS" w:eastAsia="Arial Unicode MS" w:cs="Arial Unicode MS"/>
          <w:color w:val="14202D"/>
          <w:sz w:val="22"/>
        </w:rPr>
        <w:t>五色可察风邪与脏腑归属，五嗅可察热邪与气化郁腐，五味可察湿邪与脾胃运化，五声可察燥邪与气机升降，五液可察寒邪与津液出入。</w:t>
      </w:r>
    </w:p>
    <w:p w14:paraId="38D7C886">
      <w:pPr>
        <w:spacing w:after="120" w:line="264" w:lineRule="auto"/>
        <w:ind w:firstLine="440"/>
      </w:pPr>
      <w:r>
        <w:rPr>
          <w:rFonts w:ascii="Arial Unicode MS" w:hAnsi="Arial Unicode MS" w:eastAsia="Arial Unicode MS" w:cs="Arial Unicode MS"/>
          <w:color w:val="14202D"/>
          <w:sz w:val="22"/>
        </w:rPr>
        <w:t>在实际流程中，二十五选一不是简单问答，而是通过主症候与关联症候确定病性、病位、诊断、五邪归属和治疗方向。</w:t>
      </w:r>
    </w:p>
    <w:p w14:paraId="61899412">
      <w:pPr>
        <w:pStyle w:val="4"/>
      </w:pPr>
      <w:r>
        <w:rPr>
          <w:rFonts w:ascii="Arial Unicode MS" w:hAnsi="Arial Unicode MS" w:eastAsia="Arial Unicode MS" w:cs="Arial Unicode MS"/>
          <w:b/>
          <w:color w:val="2E74B5"/>
          <w:sz w:val="26"/>
        </w:rPr>
        <w:t>3. 脉：难经脉诊</w:t>
      </w:r>
    </w:p>
    <w:p w14:paraId="66DF9048">
      <w:pPr>
        <w:spacing w:after="120" w:line="264" w:lineRule="auto"/>
        <w:ind w:firstLine="440"/>
      </w:pPr>
      <w:r>
        <w:rPr>
          <w:rFonts w:ascii="Arial Unicode MS" w:hAnsi="Arial Unicode MS" w:eastAsia="Arial Unicode MS" w:cs="Arial Unicode MS"/>
          <w:color w:val="14202D"/>
          <w:sz w:val="22"/>
        </w:rPr>
        <w:t>脉诊用于校验推演和外候。脉位对应病位，脉象对应病性。</w:t>
      </w:r>
    </w:p>
    <w:p w14:paraId="17495859">
      <w:pPr>
        <w:spacing w:after="120" w:line="264" w:lineRule="auto"/>
        <w:ind w:firstLine="440"/>
      </w:pPr>
      <w:r>
        <w:rPr>
          <w:rFonts w:ascii="Arial Unicode MS" w:hAnsi="Arial Unicode MS" w:eastAsia="Arial Unicode MS" w:cs="Arial Unicode MS"/>
          <w:color w:val="14202D"/>
          <w:sz w:val="22"/>
        </w:rPr>
        <w:t>急风、大热、缓湿、涩燥、沉寒，是本法脉象病性的基本框架；寸关尺左右定位，是本法脏腑病位的重要依据。</w:t>
      </w:r>
    </w:p>
    <w:p w14:paraId="50FAFA5C">
      <w:pPr>
        <w:pStyle w:val="4"/>
      </w:pPr>
      <w:r>
        <w:rPr>
          <w:rFonts w:ascii="Arial Unicode MS" w:hAnsi="Arial Unicode MS" w:eastAsia="Arial Unicode MS" w:cs="Arial Unicode MS"/>
          <w:b/>
          <w:color w:val="2E74B5"/>
          <w:sz w:val="26"/>
        </w:rPr>
        <w:t>4. 证：经方方证</w:t>
      </w:r>
    </w:p>
    <w:p w14:paraId="4B6293A8">
      <w:pPr>
        <w:spacing w:after="120" w:line="264" w:lineRule="auto"/>
        <w:ind w:firstLine="440"/>
      </w:pPr>
      <w:r>
        <w:rPr>
          <w:rFonts w:ascii="Arial Unicode MS" w:hAnsi="Arial Unicode MS" w:eastAsia="Arial Unicode MS" w:cs="Arial Unicode MS"/>
          <w:color w:val="14202D"/>
          <w:sz w:val="22"/>
        </w:rPr>
        <w:t>证，是时、象、脉、症归纳后的病机结构。其最终要落实到经方方证，而非停留于抽象名词。</w:t>
      </w:r>
    </w:p>
    <w:p w14:paraId="270910F8">
      <w:pPr>
        <w:spacing w:after="120" w:line="264" w:lineRule="auto"/>
        <w:ind w:firstLine="440"/>
      </w:pPr>
      <w:r>
        <w:rPr>
          <w:rFonts w:ascii="Arial Unicode MS" w:hAnsi="Arial Unicode MS" w:eastAsia="Arial Unicode MS" w:cs="Arial Unicode MS"/>
          <w:color w:val="14202D"/>
          <w:sz w:val="22"/>
        </w:rPr>
        <w:t>六经证、脏腑证、经络营卫证、虚实证、寒热证、五邪证，均应进入方证相应的判断。</w:t>
      </w:r>
    </w:p>
    <w:p w14:paraId="06892AF2">
      <w:pPr>
        <w:pStyle w:val="3"/>
      </w:pPr>
      <w:r>
        <w:rPr>
          <w:rFonts w:ascii="Arial Unicode MS" w:hAnsi="Arial Unicode MS" w:eastAsia="Arial Unicode MS" w:cs="Arial Unicode MS"/>
          <w:b/>
          <w:color w:val="2E74B5"/>
          <w:sz w:val="32"/>
        </w:rPr>
        <w:t>九、辨证体系</w:t>
      </w:r>
    </w:p>
    <w:p w14:paraId="301CD12E">
      <w:pPr>
        <w:spacing w:after="120" w:line="264" w:lineRule="auto"/>
        <w:ind w:firstLine="440"/>
      </w:pPr>
      <w:r>
        <w:rPr>
          <w:rFonts w:ascii="Arial Unicode MS" w:hAnsi="Arial Unicode MS" w:eastAsia="Arial Unicode MS" w:cs="Arial Unicode MS"/>
          <w:color w:val="14202D"/>
          <w:sz w:val="22"/>
        </w:rPr>
        <w:t>本法辨证以经方方证为核心，融合六经、脏腑、气血津液、寒热虚实、五运六气与《难经》诊法。</w:t>
      </w:r>
    </w:p>
    <w:p w14:paraId="46A9A31B">
      <w:pPr>
        <w:spacing w:after="120" w:line="264" w:lineRule="auto"/>
        <w:ind w:firstLine="440"/>
      </w:pPr>
      <w:r>
        <w:rPr>
          <w:rFonts w:ascii="Arial Unicode MS" w:hAnsi="Arial Unicode MS" w:eastAsia="Arial Unicode MS" w:cs="Arial Unicode MS"/>
          <w:color w:val="14202D"/>
          <w:sz w:val="22"/>
        </w:rPr>
        <w:t>其辨证层级如下：</w:t>
      </w:r>
    </w:p>
    <w:p w14:paraId="4A420BC1">
      <w:pPr>
        <w:spacing w:after="120" w:line="264" w:lineRule="auto"/>
        <w:ind w:firstLine="440"/>
      </w:pPr>
      <w:r>
        <w:rPr>
          <w:rFonts w:ascii="Arial Unicode MS" w:hAnsi="Arial Unicode MS" w:eastAsia="Arial Unicode MS" w:cs="Arial Unicode MS"/>
          <w:color w:val="14202D"/>
          <w:sz w:val="22"/>
        </w:rPr>
        <w:t>第一层，辨天时。判断出生气禀、发病日气化、阴阳顺逆和运气背景。</w:t>
      </w:r>
    </w:p>
    <w:p w14:paraId="1F13F25C">
      <w:pPr>
        <w:spacing w:after="120" w:line="264" w:lineRule="auto"/>
        <w:ind w:firstLine="440"/>
      </w:pPr>
      <w:r>
        <w:rPr>
          <w:rFonts w:ascii="Arial Unicode MS" w:hAnsi="Arial Unicode MS" w:eastAsia="Arial Unicode MS" w:cs="Arial Unicode MS"/>
          <w:color w:val="14202D"/>
          <w:sz w:val="22"/>
        </w:rPr>
        <w:t>第二层，辨病位。明确表、里、半表半里，经络、脏腑或具体部位。</w:t>
      </w:r>
    </w:p>
    <w:p w14:paraId="4A42B0E4">
      <w:pPr>
        <w:spacing w:after="120" w:line="264" w:lineRule="auto"/>
        <w:ind w:firstLine="440"/>
      </w:pPr>
      <w:r>
        <w:rPr>
          <w:rFonts w:ascii="Arial Unicode MS" w:hAnsi="Arial Unicode MS" w:eastAsia="Arial Unicode MS" w:cs="Arial Unicode MS"/>
          <w:color w:val="14202D"/>
          <w:sz w:val="22"/>
        </w:rPr>
        <w:t>第三层，辨病性。分风、寒、暑、湿、燥、火、温、痰、饮、瘀、毒等。</w:t>
      </w:r>
    </w:p>
    <w:p w14:paraId="2280261A">
      <w:pPr>
        <w:spacing w:after="120" w:line="264" w:lineRule="auto"/>
        <w:ind w:firstLine="440"/>
      </w:pPr>
      <w:r>
        <w:rPr>
          <w:rFonts w:ascii="Arial Unicode MS" w:hAnsi="Arial Unicode MS" w:eastAsia="Arial Unicode MS" w:cs="Arial Unicode MS"/>
          <w:color w:val="14202D"/>
          <w:sz w:val="22"/>
        </w:rPr>
        <w:t>第四层，辨正邪。判断邪实、正虚、虚实夹杂及先后缓急。</w:t>
      </w:r>
    </w:p>
    <w:p w14:paraId="5653DB1D">
      <w:pPr>
        <w:spacing w:after="120" w:line="264" w:lineRule="auto"/>
        <w:ind w:firstLine="440"/>
      </w:pPr>
      <w:r>
        <w:rPr>
          <w:rFonts w:ascii="Arial Unicode MS" w:hAnsi="Arial Unicode MS" w:eastAsia="Arial Unicode MS" w:cs="Arial Unicode MS"/>
          <w:color w:val="14202D"/>
          <w:sz w:val="22"/>
        </w:rPr>
        <w:t>第五层，辨方证。归纳为相应经方证候结构。</w:t>
      </w:r>
    </w:p>
    <w:p w14:paraId="1C751174">
      <w:pPr>
        <w:spacing w:after="120" w:line="264" w:lineRule="auto"/>
        <w:ind w:firstLine="440"/>
      </w:pPr>
      <w:r>
        <w:rPr>
          <w:rFonts w:ascii="Arial Unicode MS" w:hAnsi="Arial Unicode MS" w:eastAsia="Arial Unicode MS" w:cs="Arial Unicode MS"/>
          <w:color w:val="14202D"/>
          <w:sz w:val="22"/>
        </w:rPr>
        <w:t>第六层，辨进退。根据复诊疗效决定守方、加减、换方、停方或转诊。</w:t>
      </w:r>
    </w:p>
    <w:p w14:paraId="2C96B67A">
      <w:pPr>
        <w:pStyle w:val="3"/>
      </w:pPr>
      <w:r>
        <w:rPr>
          <w:rFonts w:ascii="Arial Unicode MS" w:hAnsi="Arial Unicode MS" w:eastAsia="Arial Unicode MS" w:cs="Arial Unicode MS"/>
          <w:b/>
          <w:color w:val="2E74B5"/>
          <w:sz w:val="32"/>
        </w:rPr>
        <w:t>十、经方运用原则</w:t>
      </w:r>
    </w:p>
    <w:p w14:paraId="23396B01">
      <w:pPr>
        <w:spacing w:after="120" w:line="264" w:lineRule="auto"/>
        <w:ind w:firstLine="440"/>
      </w:pPr>
      <w:r>
        <w:rPr>
          <w:rFonts w:ascii="Arial Unicode MS" w:hAnsi="Arial Unicode MS" w:eastAsia="Arial Unicode MS" w:cs="Arial Unicode MS"/>
          <w:color w:val="14202D"/>
          <w:sz w:val="22"/>
        </w:rPr>
        <w:t>本法处方以经方为主，遵循以下原则。</w:t>
      </w:r>
    </w:p>
    <w:p w14:paraId="4D2C43AA">
      <w:pPr>
        <w:spacing w:after="120" w:line="264" w:lineRule="auto"/>
        <w:ind w:firstLine="440"/>
      </w:pPr>
      <w:r>
        <w:rPr>
          <w:rFonts w:ascii="Arial Unicode MS" w:hAnsi="Arial Unicode MS" w:eastAsia="Arial Unicode MS" w:cs="Arial Unicode MS"/>
          <w:color w:val="14202D"/>
          <w:sz w:val="22"/>
        </w:rPr>
        <w:t>第一，方证相应。方药必须对应病机结构，不以病名机械套方。</w:t>
      </w:r>
    </w:p>
    <w:p w14:paraId="28AD3D49">
      <w:pPr>
        <w:spacing w:after="120" w:line="264" w:lineRule="auto"/>
        <w:ind w:firstLine="440"/>
      </w:pPr>
      <w:r>
        <w:rPr>
          <w:rFonts w:ascii="Arial Unicode MS" w:hAnsi="Arial Unicode MS" w:eastAsia="Arial Unicode MS" w:cs="Arial Unicode MS"/>
          <w:color w:val="14202D"/>
          <w:sz w:val="22"/>
        </w:rPr>
        <w:t>第二，主次分明。先定主证，再辨兼证，避免一方之中杂乱无章。</w:t>
      </w:r>
    </w:p>
    <w:p w14:paraId="35D263CC">
      <w:pPr>
        <w:spacing w:after="120" w:line="264" w:lineRule="auto"/>
        <w:ind w:firstLine="440"/>
      </w:pPr>
      <w:r>
        <w:rPr>
          <w:rFonts w:ascii="Arial Unicode MS" w:hAnsi="Arial Unicode MS" w:eastAsia="Arial Unicode MS" w:cs="Arial Unicode MS"/>
          <w:color w:val="14202D"/>
          <w:sz w:val="22"/>
        </w:rPr>
        <w:t>第三，五味有法。重视五脏德性、补味、泻味、苦急之味及君药五行属性。小泻、小补、大泻、大补诸方结构，可作为理解经方组合法度和药味增减规律的重要资料。</w:t>
      </w:r>
    </w:p>
    <w:p w14:paraId="088B9D07">
      <w:pPr>
        <w:spacing w:after="120" w:line="264" w:lineRule="auto"/>
        <w:ind w:firstLine="440"/>
      </w:pPr>
      <w:r>
        <w:rPr>
          <w:rFonts w:ascii="Arial Unicode MS" w:hAnsi="Arial Unicode MS" w:eastAsia="Arial Unicode MS" w:cs="Arial Unicode MS"/>
          <w:color w:val="14202D"/>
          <w:sz w:val="22"/>
        </w:rPr>
        <w:t>第四，剂量有据。剂量应依据经典原意、现代安全规范、患者体质、年龄、病势轻重和药物性质综合确定。</w:t>
      </w:r>
    </w:p>
    <w:p w14:paraId="736CB2E8">
      <w:pPr>
        <w:spacing w:after="120" w:line="264" w:lineRule="auto"/>
        <w:ind w:firstLine="440"/>
      </w:pPr>
      <w:r>
        <w:rPr>
          <w:rFonts w:ascii="Arial Unicode MS" w:hAnsi="Arial Unicode MS" w:eastAsia="Arial Unicode MS" w:cs="Arial Unicode MS"/>
          <w:color w:val="14202D"/>
          <w:sz w:val="22"/>
        </w:rPr>
        <w:t>第五，煎服有法。重视煎煮时间、先煎后下、服药频次、温服冷服、饭前饭后及药后反应。</w:t>
      </w:r>
    </w:p>
    <w:p w14:paraId="45C83367">
      <w:pPr>
        <w:spacing w:after="120" w:line="264" w:lineRule="auto"/>
        <w:ind w:firstLine="440"/>
      </w:pPr>
      <w:r>
        <w:rPr>
          <w:rFonts w:ascii="Arial Unicode MS" w:hAnsi="Arial Unicode MS" w:eastAsia="Arial Unicode MS" w:cs="Arial Unicode MS"/>
          <w:color w:val="14202D"/>
          <w:sz w:val="22"/>
        </w:rPr>
        <w:t>第六，动中求准。经方使用不是一次定终身，应通过复诊反馈不断校正方证判断。</w:t>
      </w:r>
    </w:p>
    <w:p w14:paraId="1CD640BE">
      <w:pPr>
        <w:spacing w:after="120" w:line="264" w:lineRule="auto"/>
        <w:ind w:firstLine="440"/>
      </w:pPr>
      <w:r>
        <w:rPr>
          <w:rFonts w:ascii="Arial Unicode MS" w:hAnsi="Arial Unicode MS" w:eastAsia="Arial Unicode MS" w:cs="Arial Unicode MS"/>
          <w:color w:val="14202D"/>
          <w:sz w:val="22"/>
        </w:rPr>
        <w:t>第七，安全为先。对毒性药、峻烈药、孕产妇、儿童、老人、慢病用药人群及合并西药者，应建立明确禁忌和风险提示。</w:t>
      </w:r>
    </w:p>
    <w:p w14:paraId="12208DFE">
      <w:pPr>
        <w:pStyle w:val="3"/>
      </w:pPr>
      <w:r>
        <w:rPr>
          <w:rFonts w:ascii="Arial Unicode MS" w:hAnsi="Arial Unicode MS" w:eastAsia="Arial Unicode MS" w:cs="Arial Unicode MS"/>
          <w:b/>
          <w:color w:val="2E74B5"/>
          <w:sz w:val="32"/>
        </w:rPr>
        <w:t>十一、标准化体系</w:t>
      </w:r>
    </w:p>
    <w:p w14:paraId="5C22543E">
      <w:pPr>
        <w:spacing w:after="120" w:line="264" w:lineRule="auto"/>
        <w:ind w:firstLine="440"/>
      </w:pPr>
      <w:r>
        <w:rPr>
          <w:rFonts w:ascii="Arial Unicode MS" w:hAnsi="Arial Unicode MS" w:eastAsia="Arial Unicode MS" w:cs="Arial Unicode MS"/>
          <w:color w:val="14202D"/>
          <w:sz w:val="22"/>
        </w:rPr>
        <w:t>泰山经方标准化诊疗法拟建立七项核心标准。</w:t>
      </w:r>
    </w:p>
    <w:p w14:paraId="6A04991C">
      <w:pPr>
        <w:spacing w:after="120" w:line="264" w:lineRule="auto"/>
        <w:ind w:firstLine="440"/>
      </w:pPr>
      <w:r>
        <w:rPr>
          <w:rFonts w:ascii="Arial Unicode MS" w:hAnsi="Arial Unicode MS" w:eastAsia="Arial Unicode MS" w:cs="Arial Unicode MS"/>
          <w:color w:val="14202D"/>
          <w:sz w:val="22"/>
        </w:rPr>
        <w:t>一是术语标准：统一运气、干支、五诊、脉象、方证、疗效评价等术语。</w:t>
      </w:r>
    </w:p>
    <w:p w14:paraId="4D73B8A9">
      <w:pPr>
        <w:spacing w:after="120" w:line="264" w:lineRule="auto"/>
        <w:ind w:firstLine="440"/>
      </w:pPr>
      <w:r>
        <w:rPr>
          <w:rFonts w:ascii="Arial Unicode MS" w:hAnsi="Arial Unicode MS" w:eastAsia="Arial Unicode MS" w:cs="Arial Unicode MS"/>
          <w:color w:val="14202D"/>
          <w:sz w:val="22"/>
        </w:rPr>
        <w:t>二是采集标准：统一病史、出生年地支、性别、发病日干支、五诊、脉诊和症候信息采集表。</w:t>
      </w:r>
    </w:p>
    <w:p w14:paraId="34341BCD">
      <w:pPr>
        <w:spacing w:after="120" w:line="264" w:lineRule="auto"/>
        <w:ind w:firstLine="440"/>
      </w:pPr>
      <w:r>
        <w:rPr>
          <w:rFonts w:ascii="Arial Unicode MS" w:hAnsi="Arial Unicode MS" w:eastAsia="Arial Unicode MS" w:cs="Arial Unicode MS"/>
          <w:color w:val="14202D"/>
          <w:sz w:val="22"/>
        </w:rPr>
        <w:t>三是推演标准：统一经络营卫、脏腑虚实、先天体质、高风险日研究等推演步骤和校验规则。</w:t>
      </w:r>
    </w:p>
    <w:p w14:paraId="438B666E">
      <w:pPr>
        <w:spacing w:after="120" w:line="264" w:lineRule="auto"/>
        <w:ind w:firstLine="440"/>
      </w:pPr>
      <w:r>
        <w:rPr>
          <w:rFonts w:ascii="Arial Unicode MS" w:hAnsi="Arial Unicode MS" w:eastAsia="Arial Unicode MS" w:cs="Arial Unicode MS"/>
          <w:color w:val="14202D"/>
          <w:sz w:val="22"/>
        </w:rPr>
        <w:t>四是病案标准：统一首诊、复诊、疗效、不良反应、处方调整的记录格式。</w:t>
      </w:r>
    </w:p>
    <w:p w14:paraId="2C617486">
      <w:pPr>
        <w:spacing w:after="120" w:line="264" w:lineRule="auto"/>
        <w:ind w:firstLine="440"/>
      </w:pPr>
      <w:r>
        <w:rPr>
          <w:rFonts w:ascii="Arial Unicode MS" w:hAnsi="Arial Unicode MS" w:eastAsia="Arial Unicode MS" w:cs="Arial Unicode MS"/>
          <w:color w:val="14202D"/>
          <w:sz w:val="22"/>
        </w:rPr>
        <w:t>五是方证标准：建立常用经方的主证、兼证、脉象、外候、禁忌、加减与复诊规则。</w:t>
      </w:r>
    </w:p>
    <w:p w14:paraId="2A00E105">
      <w:pPr>
        <w:spacing w:after="120" w:line="264" w:lineRule="auto"/>
        <w:ind w:firstLine="440"/>
      </w:pPr>
      <w:r>
        <w:rPr>
          <w:rFonts w:ascii="Arial Unicode MS" w:hAnsi="Arial Unicode MS" w:eastAsia="Arial Unicode MS" w:cs="Arial Unicode MS"/>
          <w:color w:val="14202D"/>
          <w:sz w:val="22"/>
        </w:rPr>
        <w:t>六是教学标准：建立入门、进阶、临床、师承、讲师五级课程体系。</w:t>
      </w:r>
    </w:p>
    <w:p w14:paraId="57D526BA">
      <w:pPr>
        <w:spacing w:after="120" w:line="264" w:lineRule="auto"/>
        <w:ind w:firstLine="440"/>
      </w:pPr>
      <w:r>
        <w:rPr>
          <w:rFonts w:ascii="Arial Unicode MS" w:hAnsi="Arial Unicode MS" w:eastAsia="Arial Unicode MS" w:cs="Arial Unicode MS"/>
          <w:color w:val="14202D"/>
          <w:sz w:val="22"/>
        </w:rPr>
        <w:t>七是软件标准：建立本地数字化录入、规则匹配、病案生成、数据脱敏、权限管理和质控流程。</w:t>
      </w:r>
    </w:p>
    <w:p w14:paraId="6C8CBBD2">
      <w:pPr>
        <w:pStyle w:val="3"/>
      </w:pPr>
      <w:r>
        <w:rPr>
          <w:rFonts w:ascii="Arial Unicode MS" w:hAnsi="Arial Unicode MS" w:eastAsia="Arial Unicode MS" w:cs="Arial Unicode MS"/>
          <w:b/>
          <w:color w:val="2E74B5"/>
          <w:sz w:val="32"/>
        </w:rPr>
        <w:t>十二、数字化传承</w:t>
      </w:r>
    </w:p>
    <w:p w14:paraId="0FD7B154">
      <w:pPr>
        <w:spacing w:after="120" w:line="264" w:lineRule="auto"/>
        <w:ind w:firstLine="440"/>
      </w:pPr>
      <w:r>
        <w:rPr>
          <w:rFonts w:ascii="Arial Unicode MS" w:hAnsi="Arial Unicode MS" w:eastAsia="Arial Unicode MS" w:cs="Arial Unicode MS"/>
          <w:color w:val="14202D"/>
          <w:sz w:val="22"/>
        </w:rPr>
        <w:t>本法数字化建设分为三类成果。</w:t>
      </w:r>
    </w:p>
    <w:p w14:paraId="7967325C">
      <w:pPr>
        <w:spacing w:after="120" w:line="264" w:lineRule="auto"/>
        <w:ind w:firstLine="440"/>
      </w:pPr>
      <w:r>
        <w:rPr>
          <w:rFonts w:ascii="Arial Unicode MS" w:hAnsi="Arial Unicode MS" w:eastAsia="Arial Unicode MS" w:cs="Arial Unicode MS"/>
          <w:color w:val="14202D"/>
          <w:sz w:val="22"/>
        </w:rPr>
        <w:t>第一，非遗数字档案。保存创始人影像、讲课录音、诊疗示范、脉诊教学、病案原始资料、传承谱系和代表性文献。</w:t>
      </w:r>
    </w:p>
    <w:p w14:paraId="439273AF">
      <w:pPr>
        <w:spacing w:after="120" w:line="264" w:lineRule="auto"/>
        <w:ind w:firstLine="440"/>
      </w:pPr>
      <w:r>
        <w:rPr>
          <w:rFonts w:ascii="Arial Unicode MS" w:hAnsi="Arial Unicode MS" w:eastAsia="Arial Unicode MS" w:cs="Arial Unicode MS"/>
          <w:color w:val="14202D"/>
          <w:sz w:val="22"/>
        </w:rPr>
        <w:t>第二，泰山经方知识库。结构化整理经典条文、运气规则、难经诊法、脉象体系、方证体系、药物规则和标准病案。</w:t>
      </w:r>
    </w:p>
    <w:p w14:paraId="754EB103">
      <w:pPr>
        <w:spacing w:after="120" w:line="264" w:lineRule="auto"/>
        <w:ind w:firstLine="440"/>
      </w:pPr>
      <w:r>
        <w:rPr>
          <w:rFonts w:ascii="Arial Unicode MS" w:hAnsi="Arial Unicode MS" w:eastAsia="Arial Unicode MS" w:cs="Arial Unicode MS"/>
          <w:color w:val="14202D"/>
          <w:sz w:val="22"/>
        </w:rPr>
        <w:t>第三，诊疗辅助系统。建设面向执业医师和学员的数字工具，用于干支推演、经络营卫定局、脏腑虚实定局、五诊采集、脉象录入、方证提示、病案生成和复诊追踪。</w:t>
      </w:r>
    </w:p>
    <w:p w14:paraId="29497654">
      <w:pPr>
        <w:spacing w:after="120" w:line="264" w:lineRule="auto"/>
        <w:ind w:firstLine="440"/>
      </w:pPr>
      <w:r>
        <w:rPr>
          <w:rFonts w:ascii="Arial Unicode MS" w:hAnsi="Arial Unicode MS" w:eastAsia="Arial Unicode MS" w:cs="Arial Unicode MS"/>
          <w:color w:val="14202D"/>
          <w:sz w:val="22"/>
        </w:rPr>
        <w:t>数字化工具应定位为传承、教学、记录和辅助分析工具，不替代合格医师的临床判断。</w:t>
      </w:r>
    </w:p>
    <w:p w14:paraId="1DFDC81B">
      <w:pPr>
        <w:pStyle w:val="3"/>
      </w:pPr>
      <w:r>
        <w:rPr>
          <w:rFonts w:ascii="Arial Unicode MS" w:hAnsi="Arial Unicode MS" w:eastAsia="Arial Unicode MS" w:cs="Arial Unicode MS"/>
          <w:b/>
          <w:color w:val="2E74B5"/>
          <w:sz w:val="32"/>
        </w:rPr>
        <w:t>十三、临床证据建设</w:t>
      </w:r>
    </w:p>
    <w:p w14:paraId="3FFEF17F">
      <w:pPr>
        <w:spacing w:after="120" w:line="264" w:lineRule="auto"/>
        <w:ind w:firstLine="440"/>
      </w:pPr>
      <w:r>
        <w:rPr>
          <w:rFonts w:ascii="Arial Unicode MS" w:hAnsi="Arial Unicode MS" w:eastAsia="Arial Unicode MS" w:cs="Arial Unicode MS"/>
          <w:color w:val="14202D"/>
          <w:sz w:val="22"/>
        </w:rPr>
        <w:t>本法重视真实世界病案积累和疗效复盘。临床证据建设分三步。</w:t>
      </w:r>
    </w:p>
    <w:p w14:paraId="2A81A804">
      <w:pPr>
        <w:spacing w:after="120" w:line="264" w:lineRule="auto"/>
        <w:ind w:firstLine="440"/>
      </w:pPr>
      <w:r>
        <w:rPr>
          <w:rFonts w:ascii="Arial Unicode MS" w:hAnsi="Arial Unicode MS" w:eastAsia="Arial Unicode MS" w:cs="Arial Unicode MS"/>
          <w:color w:val="14202D"/>
          <w:sz w:val="22"/>
        </w:rPr>
        <w:t>第一步，建立标准病案库。优先收集诊疗过程完整、复诊记录清晰、推演路径明确、方证变化明确的病例。</w:t>
      </w:r>
    </w:p>
    <w:p w14:paraId="05229E4D">
      <w:pPr>
        <w:spacing w:after="120" w:line="264" w:lineRule="auto"/>
        <w:ind w:firstLine="440"/>
      </w:pPr>
      <w:r>
        <w:rPr>
          <w:rFonts w:ascii="Arial Unicode MS" w:hAnsi="Arial Unicode MS" w:eastAsia="Arial Unicode MS" w:cs="Arial Unicode MS"/>
          <w:color w:val="14202D"/>
          <w:sz w:val="22"/>
        </w:rPr>
        <w:t>第二步，建立优势病种队列。围绕失眠、脾胃病、妇科病、皮肤病、慢性疲劳、情志相关疾病、体质调理等方向，形成专病观察。</w:t>
      </w:r>
    </w:p>
    <w:p w14:paraId="453E53B3">
      <w:pPr>
        <w:spacing w:after="120" w:line="264" w:lineRule="auto"/>
        <w:ind w:firstLine="440"/>
      </w:pPr>
      <w:r>
        <w:rPr>
          <w:rFonts w:ascii="Arial Unicode MS" w:hAnsi="Arial Unicode MS" w:eastAsia="Arial Unicode MS" w:cs="Arial Unicode MS"/>
          <w:color w:val="14202D"/>
          <w:sz w:val="22"/>
        </w:rPr>
        <w:t>第三步，形成学术成果。逐步产出病案集、疗效观察报告、论文、团体标准、教材和临床路径。</w:t>
      </w:r>
    </w:p>
    <w:p w14:paraId="56E37DBC">
      <w:pPr>
        <w:spacing w:after="120" w:line="264" w:lineRule="auto"/>
        <w:ind w:firstLine="440"/>
      </w:pPr>
      <w:r>
        <w:rPr>
          <w:rFonts w:ascii="Arial Unicode MS" w:hAnsi="Arial Unicode MS" w:eastAsia="Arial Unicode MS" w:cs="Arial Unicode MS"/>
          <w:color w:val="14202D"/>
          <w:sz w:val="22"/>
        </w:rPr>
        <w:t>本法不以夸大疗效为传播方式，而以长期、连续、规范、可复盘的病案作为流派公信力基础。</w:t>
      </w:r>
    </w:p>
    <w:p w14:paraId="7F01DB1B">
      <w:pPr>
        <w:pStyle w:val="3"/>
      </w:pPr>
      <w:r>
        <w:rPr>
          <w:rFonts w:ascii="Arial Unicode MS" w:hAnsi="Arial Unicode MS" w:eastAsia="Arial Unicode MS" w:cs="Arial Unicode MS"/>
          <w:b/>
          <w:color w:val="2E74B5"/>
          <w:sz w:val="32"/>
        </w:rPr>
        <w:t>十四、传承体系</w:t>
      </w:r>
    </w:p>
    <w:p w14:paraId="60CBCB3B">
      <w:pPr>
        <w:spacing w:after="120" w:line="264" w:lineRule="auto"/>
        <w:ind w:firstLine="440"/>
      </w:pPr>
      <w:r>
        <w:rPr>
          <w:rFonts w:ascii="Arial Unicode MS" w:hAnsi="Arial Unicode MS" w:eastAsia="Arial Unicode MS" w:cs="Arial Unicode MS"/>
          <w:color w:val="14202D"/>
          <w:sz w:val="22"/>
        </w:rPr>
        <w:t>泰山经方标准化诊疗法建立“五阶传承”。</w:t>
      </w:r>
    </w:p>
    <w:p w14:paraId="1F49D987">
      <w:pPr>
        <w:spacing w:after="120" w:line="264" w:lineRule="auto"/>
        <w:ind w:firstLine="440"/>
      </w:pPr>
      <w:r>
        <w:rPr>
          <w:rFonts w:ascii="Arial Unicode MS" w:hAnsi="Arial Unicode MS" w:eastAsia="Arial Unicode MS" w:cs="Arial Unicode MS"/>
          <w:color w:val="14202D"/>
          <w:sz w:val="22"/>
        </w:rPr>
        <w:t>第一阶，入门。学习经典基础、流派概论、诊疗流程和常用经方。</w:t>
      </w:r>
    </w:p>
    <w:p w14:paraId="50A234C6">
      <w:pPr>
        <w:spacing w:after="120" w:line="264" w:lineRule="auto"/>
        <w:ind w:firstLine="440"/>
      </w:pPr>
      <w:r>
        <w:rPr>
          <w:rFonts w:ascii="Arial Unicode MS" w:hAnsi="Arial Unicode MS" w:eastAsia="Arial Unicode MS" w:cs="Arial Unicode MS"/>
          <w:color w:val="14202D"/>
          <w:sz w:val="22"/>
        </w:rPr>
        <w:t>第二阶，进阶。学习五运六气干支推演、经络营卫定局、脏腑虚实定局、难经五诊、难经脉诊和方证辨析。</w:t>
      </w:r>
    </w:p>
    <w:p w14:paraId="4FDC8F90">
      <w:pPr>
        <w:spacing w:after="120" w:line="264" w:lineRule="auto"/>
        <w:ind w:firstLine="440"/>
      </w:pPr>
      <w:r>
        <w:rPr>
          <w:rFonts w:ascii="Arial Unicode MS" w:hAnsi="Arial Unicode MS" w:eastAsia="Arial Unicode MS" w:cs="Arial Unicode MS"/>
          <w:color w:val="14202D"/>
          <w:sz w:val="22"/>
        </w:rPr>
        <w:t>第三阶，临床。通过跟诊、病案书写、复诊分析和处方讨论训练临床能力。</w:t>
      </w:r>
    </w:p>
    <w:p w14:paraId="6D64C226">
      <w:pPr>
        <w:spacing w:after="120" w:line="264" w:lineRule="auto"/>
        <w:ind w:firstLine="440"/>
      </w:pPr>
      <w:r>
        <w:rPr>
          <w:rFonts w:ascii="Arial Unicode MS" w:hAnsi="Arial Unicode MS" w:eastAsia="Arial Unicode MS" w:cs="Arial Unicode MS"/>
          <w:color w:val="14202D"/>
          <w:sz w:val="22"/>
        </w:rPr>
        <w:t>第四阶，师承。进入长期传承关系，学习流派心法、疑难病案、用方进退和学术表达。</w:t>
      </w:r>
    </w:p>
    <w:p w14:paraId="09E4CD21">
      <w:pPr>
        <w:spacing w:after="120" w:line="264" w:lineRule="auto"/>
        <w:ind w:firstLine="440"/>
      </w:pPr>
      <w:r>
        <w:rPr>
          <w:rFonts w:ascii="Arial Unicode MS" w:hAnsi="Arial Unicode MS" w:eastAsia="Arial Unicode MS" w:cs="Arial Unicode MS"/>
          <w:color w:val="14202D"/>
          <w:sz w:val="22"/>
        </w:rPr>
        <w:t>第五阶，讲师。承担教学、病案审核、区域传承、标准推广和学术研究任务。</w:t>
      </w:r>
    </w:p>
    <w:p w14:paraId="1CB63BF1">
      <w:pPr>
        <w:spacing w:after="120" w:line="264" w:lineRule="auto"/>
        <w:ind w:firstLine="440"/>
      </w:pPr>
      <w:r>
        <w:rPr>
          <w:rFonts w:ascii="Arial Unicode MS" w:hAnsi="Arial Unicode MS" w:eastAsia="Arial Unicode MS" w:cs="Arial Unicode MS"/>
          <w:color w:val="14202D"/>
          <w:sz w:val="22"/>
        </w:rPr>
        <w:t>传承评价不以听课时长为唯一标准，而以经典理解、推演掌握、诊法掌握、病案质量、辨证准确性、处方安全性、复诊复盘能力和医德医风为核心。</w:t>
      </w:r>
    </w:p>
    <w:p w14:paraId="122B9DA8">
      <w:pPr>
        <w:pStyle w:val="3"/>
      </w:pPr>
      <w:r>
        <w:rPr>
          <w:rFonts w:ascii="Arial Unicode MS" w:hAnsi="Arial Unicode MS" w:eastAsia="Arial Unicode MS" w:cs="Arial Unicode MS"/>
          <w:b/>
          <w:color w:val="2E74B5"/>
          <w:sz w:val="32"/>
        </w:rPr>
        <w:t>十五、学术边界</w:t>
      </w:r>
    </w:p>
    <w:p w14:paraId="4A523020">
      <w:pPr>
        <w:spacing w:after="120" w:line="264" w:lineRule="auto"/>
        <w:ind w:firstLine="440"/>
      </w:pPr>
      <w:r>
        <w:rPr>
          <w:rFonts w:ascii="Arial Unicode MS" w:hAnsi="Arial Unicode MS" w:eastAsia="Arial Unicode MS" w:cs="Arial Unicode MS"/>
          <w:color w:val="14202D"/>
          <w:sz w:val="22"/>
        </w:rPr>
        <w:t>本法坚持中医药学术体系内部的传承创新，不将运气推演神秘化，不以单一干支结果决定诊断，不以软件替代医师，不以商业宣传压倒临床安全。</w:t>
      </w:r>
    </w:p>
    <w:tbl>
      <w:tblPr>
        <w:tblStyle w:val="32"/>
        <w:tblW w:w="0" w:type="auto"/>
        <w:jc w:val="center"/>
        <w:tblLayout w:type="fixed"/>
        <w:tblCellMar>
          <w:top w:w="0" w:type="dxa"/>
          <w:left w:w="108" w:type="dxa"/>
          <w:bottom w:w="0" w:type="dxa"/>
          <w:right w:w="108" w:type="dxa"/>
        </w:tblCellMar>
      </w:tblPr>
      <w:tblGrid>
        <w:gridCol w:w="9360"/>
      </w:tblGrid>
      <w:tr w14:paraId="2AE819F7">
        <w:trPr>
          <w:jc w:val="center"/>
        </w:trPr>
        <w:tc>
          <w:tcPr>
            <w:tcW w:w="9072" w:type="dxa"/>
            <w:shd w:val="clear" w:color="auto" w:fill="F4F6F9"/>
          </w:tcPr>
          <w:p w14:paraId="7884219C">
            <w:pPr>
              <w:spacing w:after="60"/>
            </w:pPr>
            <w:r>
              <w:rPr>
                <w:rFonts w:ascii="Arial Unicode MS" w:hAnsi="Arial Unicode MS" w:eastAsia="Arial Unicode MS" w:cs="Arial Unicode MS"/>
                <w:b/>
                <w:color w:val="1F4D78"/>
                <w:sz w:val="21"/>
              </w:rPr>
              <w:t>本法强调：</w:t>
            </w:r>
          </w:p>
        </w:tc>
      </w:tr>
    </w:tbl>
    <w:p w14:paraId="5A09E982">
      <w:pPr>
        <w:spacing w:after="40"/>
      </w:pPr>
    </w:p>
    <w:p w14:paraId="69206BC7">
      <w:pPr>
        <w:spacing w:after="120" w:line="264" w:lineRule="auto"/>
        <w:ind w:firstLine="440"/>
      </w:pPr>
      <w:r>
        <w:rPr>
          <w:rFonts w:ascii="Arial Unicode MS" w:hAnsi="Arial Unicode MS" w:eastAsia="Arial Unicode MS" w:cs="Arial Unicode MS"/>
          <w:color w:val="14202D"/>
          <w:sz w:val="22"/>
        </w:rPr>
        <w:t>有证方可立论；</w:t>
      </w:r>
    </w:p>
    <w:p w14:paraId="047D4FEE">
      <w:pPr>
        <w:spacing w:after="120" w:line="264" w:lineRule="auto"/>
        <w:ind w:firstLine="440"/>
      </w:pPr>
      <w:r>
        <w:rPr>
          <w:rFonts w:ascii="Arial Unicode MS" w:hAnsi="Arial Unicode MS" w:eastAsia="Arial Unicode MS" w:cs="Arial Unicode MS"/>
          <w:color w:val="14202D"/>
          <w:sz w:val="22"/>
        </w:rPr>
        <w:t>有案方可传法；</w:t>
      </w:r>
    </w:p>
    <w:p w14:paraId="17140565">
      <w:pPr>
        <w:spacing w:after="120" w:line="264" w:lineRule="auto"/>
        <w:ind w:firstLine="440"/>
      </w:pPr>
      <w:r>
        <w:rPr>
          <w:rFonts w:ascii="Arial Unicode MS" w:hAnsi="Arial Unicode MS" w:eastAsia="Arial Unicode MS" w:cs="Arial Unicode MS"/>
          <w:color w:val="14202D"/>
          <w:sz w:val="22"/>
        </w:rPr>
        <w:t>有效方可推广；</w:t>
      </w:r>
    </w:p>
    <w:p w14:paraId="05E8190A">
      <w:pPr>
        <w:spacing w:after="120" w:line="264" w:lineRule="auto"/>
        <w:ind w:firstLine="440"/>
      </w:pPr>
      <w:r>
        <w:rPr>
          <w:rFonts w:ascii="Arial Unicode MS" w:hAnsi="Arial Unicode MS" w:eastAsia="Arial Unicode MS" w:cs="Arial Unicode MS"/>
          <w:color w:val="14202D"/>
          <w:sz w:val="22"/>
        </w:rPr>
        <w:t>有戒方可久远。</w:t>
      </w:r>
    </w:p>
    <w:p w14:paraId="1E8CD6C4">
      <w:pPr>
        <w:spacing w:after="120" w:line="264" w:lineRule="auto"/>
        <w:ind w:firstLine="440"/>
      </w:pPr>
      <w:r>
        <w:rPr>
          <w:rFonts w:ascii="Arial Unicode MS" w:hAnsi="Arial Unicode MS" w:eastAsia="Arial Unicode MS" w:cs="Arial Unicode MS"/>
          <w:color w:val="14202D"/>
          <w:sz w:val="22"/>
        </w:rPr>
        <w:t>对危急重症、传染病、重大器质性疾病、需手术或急救处置者，应依法依规建议患者及时接受相应医疗服务。中医诊疗应在合格医师执业范围内开展。</w:t>
      </w:r>
    </w:p>
    <w:p w14:paraId="0698A76F">
      <w:pPr>
        <w:pStyle w:val="3"/>
      </w:pPr>
      <w:r>
        <w:rPr>
          <w:rFonts w:ascii="Arial Unicode MS" w:hAnsi="Arial Unicode MS" w:eastAsia="Arial Unicode MS" w:cs="Arial Unicode MS"/>
          <w:b/>
          <w:color w:val="2E74B5"/>
          <w:sz w:val="32"/>
        </w:rPr>
        <w:t>十六、发展愿景</w:t>
      </w:r>
    </w:p>
    <w:p w14:paraId="473EE4E1">
      <w:pPr>
        <w:spacing w:after="120" w:line="264" w:lineRule="auto"/>
        <w:ind w:firstLine="440"/>
      </w:pPr>
      <w:r>
        <w:rPr>
          <w:rFonts w:ascii="Arial Unicode MS" w:hAnsi="Arial Unicode MS" w:eastAsia="Arial Unicode MS" w:cs="Arial Unicode MS"/>
          <w:color w:val="14202D"/>
          <w:sz w:val="22"/>
        </w:rPr>
        <w:t>泰山经方标准化诊疗法的远期愿景，是形成“一纲、两库、三标准、四平台、五体系”。</w:t>
      </w:r>
    </w:p>
    <w:p w14:paraId="4242C29C">
      <w:pPr>
        <w:spacing w:after="120" w:line="264" w:lineRule="auto"/>
        <w:ind w:firstLine="440"/>
      </w:pPr>
      <w:r>
        <w:rPr>
          <w:rFonts w:ascii="Arial Unicode MS" w:hAnsi="Arial Unicode MS" w:eastAsia="Arial Unicode MS" w:cs="Arial Unicode MS"/>
          <w:color w:val="14202D"/>
          <w:sz w:val="22"/>
        </w:rPr>
        <w:t>一纲，即《泰山经方标准化诊疗法学术纲要》。</w:t>
      </w:r>
    </w:p>
    <w:p w14:paraId="217F4205">
      <w:pPr>
        <w:spacing w:after="120" w:line="264" w:lineRule="auto"/>
        <w:ind w:firstLine="440"/>
      </w:pPr>
      <w:r>
        <w:rPr>
          <w:rFonts w:ascii="Arial Unicode MS" w:hAnsi="Arial Unicode MS" w:eastAsia="Arial Unicode MS" w:cs="Arial Unicode MS"/>
          <w:color w:val="14202D"/>
          <w:sz w:val="22"/>
        </w:rPr>
        <w:t>两库，即泰山经方标准病案库与泰山经方知识库。</w:t>
      </w:r>
    </w:p>
    <w:p w14:paraId="7B29B7BC">
      <w:pPr>
        <w:spacing w:after="120" w:line="264" w:lineRule="auto"/>
        <w:ind w:firstLine="440"/>
      </w:pPr>
      <w:r>
        <w:rPr>
          <w:rFonts w:ascii="Arial Unicode MS" w:hAnsi="Arial Unicode MS" w:eastAsia="Arial Unicode MS" w:cs="Arial Unicode MS"/>
          <w:color w:val="14202D"/>
          <w:sz w:val="22"/>
        </w:rPr>
        <w:t>三标准，即诊疗标准、教学标准、数字化标准。</w:t>
      </w:r>
    </w:p>
    <w:p w14:paraId="4F57F991">
      <w:pPr>
        <w:spacing w:after="120" w:line="264" w:lineRule="auto"/>
        <w:ind w:firstLine="440"/>
      </w:pPr>
      <w:r>
        <w:rPr>
          <w:rFonts w:ascii="Arial Unicode MS" w:hAnsi="Arial Unicode MS" w:eastAsia="Arial Unicode MS" w:cs="Arial Unicode MS"/>
          <w:color w:val="14202D"/>
          <w:sz w:val="22"/>
        </w:rPr>
        <w:t>四平台，即学术研究平台、临床协作平台、数字软件平台、非遗传播平台。</w:t>
      </w:r>
    </w:p>
    <w:p w14:paraId="501A31BE">
      <w:pPr>
        <w:spacing w:after="120" w:line="264" w:lineRule="auto"/>
        <w:ind w:firstLine="440"/>
      </w:pPr>
      <w:r>
        <w:rPr>
          <w:rFonts w:ascii="Arial Unicode MS" w:hAnsi="Arial Unicode MS" w:eastAsia="Arial Unicode MS" w:cs="Arial Unicode MS"/>
          <w:color w:val="14202D"/>
          <w:sz w:val="22"/>
        </w:rPr>
        <w:t>五体系，即理论体系、诊法体系、方证体系、证据体系、传承体系。</w:t>
      </w:r>
    </w:p>
    <w:p w14:paraId="712C5875">
      <w:pPr>
        <w:spacing w:after="120" w:line="264" w:lineRule="auto"/>
        <w:ind w:firstLine="440"/>
      </w:pPr>
      <w:r>
        <w:rPr>
          <w:rFonts w:ascii="Arial Unicode MS" w:hAnsi="Arial Unicode MS" w:eastAsia="Arial Unicode MS" w:cs="Arial Unicode MS"/>
          <w:color w:val="14202D"/>
          <w:sz w:val="22"/>
        </w:rPr>
        <w:t>最终，使泰山经方标准化诊疗法成为具有鲜明学术特色、稳定传承路径、规范临床记录、数字化产品支撑和社会影响力的现代中医经方流派。</w:t>
      </w:r>
    </w:p>
    <w:p w14:paraId="2C686AEA">
      <w:pPr>
        <w:pStyle w:val="3"/>
      </w:pPr>
      <w:r>
        <w:rPr>
          <w:rFonts w:ascii="Arial Unicode MS" w:hAnsi="Arial Unicode MS" w:eastAsia="Arial Unicode MS" w:cs="Arial Unicode MS"/>
          <w:b/>
          <w:color w:val="2E74B5"/>
          <w:sz w:val="32"/>
        </w:rPr>
        <w:t>十七、纲领性表述</w:t>
      </w:r>
    </w:p>
    <w:p w14:paraId="13CB6D61">
      <w:pPr>
        <w:spacing w:after="120" w:line="264" w:lineRule="auto"/>
        <w:ind w:firstLine="440"/>
      </w:pPr>
      <w:r>
        <w:rPr>
          <w:rFonts w:ascii="Arial Unicode MS" w:hAnsi="Arial Unicode MS" w:eastAsia="Arial Unicode MS" w:cs="Arial Unicode MS"/>
          <w:color w:val="14202D"/>
          <w:sz w:val="22"/>
        </w:rPr>
        <w:t>泰山经方标准化诊疗法，宗经典而不泥古，重经验而求标准，守医道而通数字。</w:t>
      </w:r>
    </w:p>
    <w:tbl>
      <w:tblPr>
        <w:tblStyle w:val="32"/>
        <w:tblW w:w="0" w:type="auto"/>
        <w:jc w:val="center"/>
        <w:tblLayout w:type="fixed"/>
        <w:tblCellMar>
          <w:top w:w="0" w:type="dxa"/>
          <w:left w:w="108" w:type="dxa"/>
          <w:bottom w:w="0" w:type="dxa"/>
          <w:right w:w="108" w:type="dxa"/>
        </w:tblCellMar>
      </w:tblPr>
      <w:tblGrid>
        <w:gridCol w:w="9360"/>
      </w:tblGrid>
      <w:tr w14:paraId="44D52A5D">
        <w:trPr>
          <w:jc w:val="center"/>
        </w:trPr>
        <w:tc>
          <w:tcPr>
            <w:tcW w:w="9072" w:type="dxa"/>
            <w:shd w:val="clear" w:color="auto" w:fill="F4F6F9"/>
          </w:tcPr>
          <w:p w14:paraId="0D8F3555">
            <w:pPr>
              <w:spacing w:after="60"/>
            </w:pPr>
            <w:r>
              <w:rPr>
                <w:rFonts w:ascii="Arial Unicode MS" w:hAnsi="Arial Unicode MS" w:eastAsia="Arial Unicode MS" w:cs="Arial Unicode MS"/>
                <w:b/>
                <w:color w:val="1F4D78"/>
                <w:sz w:val="21"/>
              </w:rPr>
              <w:t>其学术精神为：</w:t>
            </w:r>
          </w:p>
        </w:tc>
      </w:tr>
    </w:tbl>
    <w:p w14:paraId="5A96092F">
      <w:pPr>
        <w:spacing w:after="40"/>
      </w:pPr>
    </w:p>
    <w:p w14:paraId="3B3FC5D9">
      <w:pPr>
        <w:spacing w:after="120" w:line="264" w:lineRule="auto"/>
        <w:ind w:firstLine="440"/>
      </w:pPr>
      <w:r>
        <w:rPr>
          <w:rFonts w:ascii="Arial Unicode MS" w:hAnsi="Arial Unicode MS" w:eastAsia="Arial Unicode MS" w:cs="Arial Unicode MS"/>
          <w:color w:val="14202D"/>
          <w:sz w:val="22"/>
        </w:rPr>
        <w:t>以天地气化观病势；</w:t>
      </w:r>
    </w:p>
    <w:p w14:paraId="722213EC">
      <w:pPr>
        <w:spacing w:after="120" w:line="264" w:lineRule="auto"/>
        <w:ind w:firstLine="440"/>
      </w:pPr>
      <w:r>
        <w:rPr>
          <w:rFonts w:ascii="Arial Unicode MS" w:hAnsi="Arial Unicode MS" w:eastAsia="Arial Unicode MS" w:cs="Arial Unicode MS"/>
          <w:color w:val="14202D"/>
          <w:sz w:val="22"/>
        </w:rPr>
        <w:t>以干支象数推病机；</w:t>
      </w:r>
    </w:p>
    <w:p w14:paraId="2E59AC4C">
      <w:pPr>
        <w:spacing w:after="120" w:line="264" w:lineRule="auto"/>
        <w:ind w:firstLine="440"/>
      </w:pPr>
      <w:r>
        <w:rPr>
          <w:rFonts w:ascii="Arial Unicode MS" w:hAnsi="Arial Unicode MS" w:eastAsia="Arial Unicode MS" w:cs="Arial Unicode MS"/>
          <w:color w:val="14202D"/>
          <w:sz w:val="22"/>
        </w:rPr>
        <w:t>以难经五诊察脏腑；</w:t>
      </w:r>
    </w:p>
    <w:p w14:paraId="28D8C369">
      <w:pPr>
        <w:spacing w:after="120" w:line="264" w:lineRule="auto"/>
        <w:ind w:firstLine="440"/>
      </w:pPr>
      <w:r>
        <w:rPr>
          <w:rFonts w:ascii="Arial Unicode MS" w:hAnsi="Arial Unicode MS" w:eastAsia="Arial Unicode MS" w:cs="Arial Unicode MS"/>
          <w:color w:val="14202D"/>
          <w:sz w:val="22"/>
        </w:rPr>
        <w:t>以脉证互参定虚实；</w:t>
      </w:r>
    </w:p>
    <w:p w14:paraId="23573770">
      <w:pPr>
        <w:spacing w:after="120" w:line="264" w:lineRule="auto"/>
        <w:ind w:firstLine="440"/>
      </w:pPr>
      <w:r>
        <w:rPr>
          <w:rFonts w:ascii="Arial Unicode MS" w:hAnsi="Arial Unicode MS" w:eastAsia="Arial Unicode MS" w:cs="Arial Unicode MS"/>
          <w:color w:val="14202D"/>
          <w:sz w:val="22"/>
        </w:rPr>
        <w:t>以经方方证施治疗；</w:t>
      </w:r>
    </w:p>
    <w:p w14:paraId="04F07920">
      <w:pPr>
        <w:spacing w:after="120" w:line="264" w:lineRule="auto"/>
        <w:ind w:firstLine="440"/>
      </w:pPr>
      <w:r>
        <w:rPr>
          <w:rFonts w:ascii="Arial Unicode MS" w:hAnsi="Arial Unicode MS" w:eastAsia="Arial Unicode MS" w:cs="Arial Unicode MS"/>
          <w:color w:val="14202D"/>
          <w:sz w:val="22"/>
        </w:rPr>
        <w:t>以标准病案验疗效；</w:t>
      </w:r>
    </w:p>
    <w:p w14:paraId="243D5433">
      <w:pPr>
        <w:spacing w:after="120" w:line="264" w:lineRule="auto"/>
        <w:ind w:firstLine="440"/>
      </w:pPr>
      <w:r>
        <w:rPr>
          <w:rFonts w:ascii="Arial Unicode MS" w:hAnsi="Arial Unicode MS" w:eastAsia="Arial Unicode MS" w:cs="Arial Unicode MS"/>
          <w:color w:val="14202D"/>
          <w:sz w:val="22"/>
        </w:rPr>
        <w:t>以数字传承续薪火。</w:t>
      </w:r>
    </w:p>
    <w:sectPr>
      <w:headerReference r:id="rId5" w:type="default"/>
      <w:footerReference r:id="rId6"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F21E2">
    <w:pPr>
      <w:pStyle w:val="24"/>
      <w:spacing w:after="0"/>
      <w:jc w:val="center"/>
    </w:pPr>
    <w:r>
      <w:rPr>
        <w:rFonts w:ascii="Arial Unicode MS" w:hAnsi="Arial Unicode MS" w:eastAsia="Arial Unicode MS" w:cs="Arial Unicode MS"/>
        <w:color w:val="5F6974"/>
        <w:sz w:val="18"/>
      </w:rPr>
      <w:t>内部草案 | 传承研究与学术建设使用</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2C612">
    <w:pPr>
      <w:pStyle w:val="25"/>
      <w:spacing w:after="0"/>
      <w:jc w:val="right"/>
    </w:pPr>
    <w:r>
      <w:rPr>
        <w:rFonts w:ascii="Arial Unicode MS" w:hAnsi="Arial Unicode MS" w:eastAsia="Arial Unicode MS" w:cs="Arial Unicode MS"/>
        <w:color w:val="5F6974"/>
        <w:sz w:val="18"/>
      </w:rPr>
      <w:t>泰山经方标准化诊疗法学术纲要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7FF39E5"/>
    <w:rsid w:val="4FF3A1AF"/>
    <w:rsid w:val="57BCBB82"/>
    <w:rsid w:val="59DD0DD1"/>
    <w:rsid w:val="5BF79732"/>
    <w:rsid w:val="5FEB6615"/>
    <w:rsid w:val="5FEFCA2F"/>
    <w:rsid w:val="747BBA26"/>
    <w:rsid w:val="76FBEE14"/>
    <w:rsid w:val="7F7F3495"/>
    <w:rsid w:val="BFBFDA05"/>
    <w:rsid w:val="EFFFDFE2"/>
    <w:rsid w:val="F677B9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64" w:lineRule="auto"/>
    </w:pPr>
    <w:rPr>
      <w:rFonts w:ascii="Arial Unicode MS" w:hAnsi="Arial Unicode MS" w:eastAsia="Arial Unicode MS" w:cs="Arial Unicode MS"/>
      <w:color w:val="14202D"/>
      <w:sz w:val="22"/>
      <w:szCs w:val="22"/>
      <w:lang w:val="en-US" w:eastAsia="en-US" w:bidi="ar-SA"/>
    </w:rPr>
  </w:style>
  <w:style w:type="paragraph" w:styleId="3">
    <w:name w:val="heading 1"/>
    <w:basedOn w:val="1"/>
    <w:next w:val="1"/>
    <w:link w:val="138"/>
    <w:qFormat/>
    <w:uiPriority w:val="9"/>
    <w:pPr>
      <w:keepNext/>
      <w:keepLines/>
      <w:spacing w:before="320" w:after="160"/>
      <w:outlineLvl w:val="0"/>
    </w:pPr>
    <w:rPr>
      <w:rFonts w:asciiTheme="majorHAnsi" w:hAnsiTheme="majorHAnsi" w:eastAsiaTheme="majorEastAsia" w:cstheme="majorBidi"/>
      <w:b/>
      <w:bCs/>
      <w:color w:val="2E74B5"/>
      <w:sz w:val="32"/>
      <w:szCs w:val="28"/>
    </w:rPr>
  </w:style>
  <w:style w:type="paragraph" w:styleId="4">
    <w:name w:val="heading 2"/>
    <w:basedOn w:val="1"/>
    <w:next w:val="1"/>
    <w:link w:val="139"/>
    <w:unhideWhenUsed/>
    <w:qFormat/>
    <w:uiPriority w:val="9"/>
    <w:pPr>
      <w:keepNext/>
      <w:keepLines/>
      <w:spacing w:before="240" w:after="120"/>
      <w:outlineLvl w:val="1"/>
    </w:pPr>
    <w:rPr>
      <w:rFonts w:asciiTheme="majorHAnsi" w:hAnsiTheme="majorHAnsi" w:eastAsiaTheme="majorEastAsia" w:cstheme="majorBidi"/>
      <w:b/>
      <w:bCs/>
      <w:color w:val="2E74B5"/>
      <w:sz w:val="26"/>
      <w:szCs w:val="26"/>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1F4D78"/>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2</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泰安王相钧</cp:lastModifiedBy>
  <dcterms:modified xsi:type="dcterms:W3CDTF">2026-10-22T16:59:46Z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8980625C6778DF8989CFD96A506540C4_42</vt:lpwstr>
  </property>
</Properties>
</file>